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D1" w:rsidRPr="00A955D4" w:rsidRDefault="00D93A96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F4DD1" w:rsidRPr="00A955D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заполнению</w:t>
      </w:r>
      <w:r w:rsidR="006F4DD1" w:rsidRPr="00A955D4">
        <w:rPr>
          <w:rFonts w:ascii="Times New Roman" w:hAnsi="Times New Roman" w:cs="Times New Roman"/>
          <w:b/>
          <w:sz w:val="28"/>
          <w:szCs w:val="28"/>
        </w:rPr>
        <w:t xml:space="preserve"> формы № 64 «Сведения о заготовке, хранении, транспортировке и клиническом использовании донорской крови и (или) ее компонентов»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представляемой органом исполнительной власти субъекта Российской Федерации </w:t>
      </w:r>
      <w:r w:rsidR="002A2B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сфере охраны здоровья, и по</w:t>
      </w:r>
      <w:r w:rsidR="00A955D4">
        <w:rPr>
          <w:rFonts w:ascii="Times New Roman" w:hAnsi="Times New Roman" w:cs="Times New Roman"/>
          <w:b/>
          <w:sz w:val="28"/>
          <w:szCs w:val="28"/>
        </w:rPr>
        <w:t xml:space="preserve"> содержанию пояснительной записки к </w:t>
      </w:r>
      <w:r>
        <w:rPr>
          <w:rFonts w:ascii="Times New Roman" w:hAnsi="Times New Roman" w:cs="Times New Roman"/>
          <w:b/>
          <w:sz w:val="28"/>
          <w:szCs w:val="28"/>
        </w:rPr>
        <w:t>ней</w:t>
      </w:r>
    </w:p>
    <w:p w:rsidR="006F4DD1" w:rsidRPr="00A955D4" w:rsidRDefault="006F4DD1" w:rsidP="00AC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11" w:rsidRDefault="005D2670" w:rsidP="00AC34B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bCs/>
          <w:sz w:val="28"/>
          <w:szCs w:val="28"/>
        </w:rPr>
        <w:t xml:space="preserve">Форма 64 </w:t>
      </w:r>
      <w:r w:rsidR="00C21679" w:rsidRPr="00835814">
        <w:rPr>
          <w:rFonts w:ascii="Times New Roman" w:hAnsi="Times New Roman" w:cs="Times New Roman"/>
          <w:sz w:val="28"/>
          <w:szCs w:val="28"/>
        </w:rPr>
        <w:t>«Сведения о заготовке, хранении, транспортировке и клиническом использовании донорской крови и (или) ее компонентов» (далее – форма 64)</w:t>
      </w:r>
      <w:r w:rsidR="00C21679" w:rsidRPr="00835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814">
        <w:rPr>
          <w:rFonts w:ascii="Times New Roman" w:hAnsi="Times New Roman" w:cs="Times New Roman"/>
          <w:bCs/>
          <w:sz w:val="28"/>
          <w:szCs w:val="28"/>
        </w:rPr>
        <w:t>з</w:t>
      </w:r>
      <w:r w:rsidR="006F4DD1" w:rsidRPr="00835814">
        <w:rPr>
          <w:rFonts w:ascii="Times New Roman" w:hAnsi="Times New Roman" w:cs="Times New Roman"/>
          <w:bCs/>
          <w:sz w:val="28"/>
          <w:szCs w:val="28"/>
        </w:rPr>
        <w:t xml:space="preserve">аполняется полностью всеми медицинским организациями, которые осуществляют </w:t>
      </w:r>
      <w:r w:rsidR="006F4DD1" w:rsidRPr="00835814">
        <w:rPr>
          <w:rFonts w:ascii="Times New Roman" w:hAnsi="Times New Roman" w:cs="Times New Roman"/>
          <w:sz w:val="28"/>
          <w:szCs w:val="28"/>
        </w:rPr>
        <w:t xml:space="preserve">заготовку, хранение, транспортировку и клиническое использование донорской крови и (или) ее компонентов, </w:t>
      </w:r>
      <w:r w:rsidR="006F4DD1" w:rsidRPr="0083581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F4DD1" w:rsidRPr="00835814">
        <w:rPr>
          <w:rFonts w:ascii="Times New Roman" w:hAnsi="Times New Roman" w:cs="Times New Roman"/>
          <w:sz w:val="28"/>
          <w:szCs w:val="28"/>
        </w:rPr>
        <w:t>Приложением №2 к приказу Министерства здравоохранения Российской Федерации от 22 октября 2020 г. №1138н «Порядок заполнения формы статистического учета и отчетности №64 «Сведения о заготовке, хранении, транспортировке и клиническом использовании донорской крови и (или) ее компонентов</w:t>
      </w:r>
      <w:r w:rsidR="006F4DD1" w:rsidRPr="002645FB">
        <w:rPr>
          <w:rFonts w:ascii="Times New Roman" w:hAnsi="Times New Roman" w:cs="Times New Roman"/>
          <w:sz w:val="28"/>
          <w:szCs w:val="28"/>
        </w:rPr>
        <w:t>»</w:t>
      </w:r>
      <w:r w:rsidR="002645FB" w:rsidRPr="002645FB">
        <w:rPr>
          <w:rFonts w:ascii="Times New Roman" w:hAnsi="Times New Roman" w:cs="Times New Roman"/>
          <w:sz w:val="28"/>
          <w:szCs w:val="28"/>
        </w:rPr>
        <w:t xml:space="preserve"> (далее – соответственно приказ №1138н, форма №64)</w:t>
      </w:r>
      <w:r w:rsidR="006F4DD1" w:rsidRPr="00264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B59" w:rsidRPr="00D83767" w:rsidRDefault="007F4B59" w:rsidP="00B72C9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3767">
        <w:rPr>
          <w:rFonts w:ascii="Times New Roman" w:hAnsi="Times New Roman" w:cs="Times New Roman"/>
          <w:sz w:val="28"/>
          <w:szCs w:val="28"/>
        </w:rPr>
        <w:t xml:space="preserve">По таблице 1000 в строку 2 «Из них доноры, сдавшие плазму» не дублировать данные по иммунным донорам. </w:t>
      </w:r>
    </w:p>
    <w:p w:rsidR="00EA71C2" w:rsidRPr="00835814" w:rsidRDefault="00EA71C2" w:rsidP="00AC34B5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6B415C">
          <w:rPr>
            <w:rFonts w:ascii="Times New Roman" w:hAnsi="Times New Roman" w:cs="Times New Roman"/>
            <w:sz w:val="28"/>
            <w:szCs w:val="28"/>
          </w:rPr>
          <w:t xml:space="preserve">таблице 1200 </w:t>
        </w:r>
      </w:hyperlink>
      <w:r w:rsidR="006B415C" w:rsidRPr="006B415C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6B415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history="1">
        <w:r w:rsidRPr="006B415C">
          <w:rPr>
            <w:rFonts w:ascii="Times New Roman" w:hAnsi="Times New Roman" w:cs="Times New Roman"/>
            <w:sz w:val="28"/>
            <w:szCs w:val="28"/>
          </w:rPr>
          <w:t>строке 7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указывается число донаций, при которых донор сдавал одновременно два и более компонентов дон</w:t>
      </w:r>
      <w:r w:rsidR="00E622BD">
        <w:rPr>
          <w:rFonts w:ascii="Times New Roman" w:hAnsi="Times New Roman" w:cs="Times New Roman"/>
          <w:sz w:val="28"/>
          <w:szCs w:val="28"/>
        </w:rPr>
        <w:t>орской крови за одну донацию</w:t>
      </w:r>
      <w:r w:rsidR="00E622BD" w:rsidRPr="006F6EBA">
        <w:rPr>
          <w:rFonts w:ascii="Times New Roman" w:hAnsi="Times New Roman" w:cs="Times New Roman"/>
          <w:sz w:val="28"/>
          <w:szCs w:val="28"/>
        </w:rPr>
        <w:t xml:space="preserve"> </w:t>
      </w:r>
      <w:r w:rsidR="00E622BD">
        <w:rPr>
          <w:rFonts w:ascii="Times New Roman" w:hAnsi="Times New Roman" w:cs="Times New Roman"/>
          <w:sz w:val="28"/>
          <w:szCs w:val="28"/>
        </w:rPr>
        <w:t xml:space="preserve">(т.е. </w:t>
      </w:r>
      <w:r w:rsidR="00E622BD" w:rsidRPr="006F6EBA">
        <w:rPr>
          <w:rFonts w:ascii="Times New Roman" w:hAnsi="Times New Roman" w:cs="Times New Roman"/>
          <w:sz w:val="28"/>
          <w:szCs w:val="28"/>
        </w:rPr>
        <w:t>заготовка от донора методом афереза двух и более различных компонентов</w:t>
      </w:r>
      <w:r w:rsidR="00E622BD">
        <w:rPr>
          <w:rFonts w:ascii="Times New Roman" w:hAnsi="Times New Roman" w:cs="Times New Roman"/>
          <w:sz w:val="28"/>
          <w:szCs w:val="28"/>
        </w:rPr>
        <w:t>).</w:t>
      </w:r>
    </w:p>
    <w:p w:rsidR="00624C18" w:rsidRPr="00835814" w:rsidRDefault="00624C18" w:rsidP="00AC34B5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 xml:space="preserve">В таблице 3000 в </w:t>
      </w:r>
      <w:hyperlink w:anchor="P307" w:history="1">
        <w:r w:rsidRPr="00835814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указывают количество цельной крови, которую потребовалось переработать для получения компонентов донорской крови, указанных в </w:t>
      </w:r>
      <w:hyperlink w:anchor="P342" w:history="1">
        <w:r w:rsidRPr="00835814">
          <w:rPr>
            <w:rFonts w:ascii="Times New Roman" w:hAnsi="Times New Roman" w:cs="Times New Roman"/>
            <w:sz w:val="28"/>
            <w:szCs w:val="28"/>
          </w:rPr>
          <w:t>строках 3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2" w:history="1">
        <w:r w:rsidRPr="0083581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8" w:history="1">
        <w:r w:rsidRPr="00835814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0" w:history="1">
        <w:r w:rsidRPr="00835814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835814">
        <w:rPr>
          <w:rFonts w:ascii="Times New Roman" w:hAnsi="Times New Roman" w:cs="Times New Roman"/>
          <w:sz w:val="28"/>
          <w:szCs w:val="28"/>
        </w:rPr>
        <w:t>. Если в процессе заготовки компонентов донорской крови из дозы цельной крови, полученной от одной донации крови (450 мл), заготовлено два и более наименования компонентов донорской крови, количество переработанной цельной крови указывается по одному из заготовленных от данной донации компонент</w:t>
      </w:r>
      <w:r w:rsidR="00B91CE6">
        <w:rPr>
          <w:rFonts w:ascii="Times New Roman" w:hAnsi="Times New Roman" w:cs="Times New Roman"/>
          <w:sz w:val="28"/>
          <w:szCs w:val="28"/>
        </w:rPr>
        <w:t>ов</w:t>
      </w:r>
      <w:r w:rsidRPr="00835814">
        <w:rPr>
          <w:rFonts w:ascii="Times New Roman" w:hAnsi="Times New Roman" w:cs="Times New Roman"/>
          <w:sz w:val="28"/>
          <w:szCs w:val="28"/>
        </w:rPr>
        <w:t xml:space="preserve"> донорской крови.</w:t>
      </w:r>
    </w:p>
    <w:p w:rsidR="000F667D" w:rsidRPr="00835814" w:rsidRDefault="000F667D" w:rsidP="00AC34B5">
      <w:pPr>
        <w:pStyle w:val="ConsPlusNormal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 xml:space="preserve">В таблице 3000 в </w:t>
      </w:r>
      <w:hyperlink w:anchor="P309" w:history="1">
        <w:r w:rsidRPr="00835814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- 10 указывают количество компонентов донорской крови, заготовленных за предыдущие периоды и отчетный период, и переданных в отчетном году для клинического использования в медицинские организации и для использования в иных целях.</w:t>
      </w:r>
    </w:p>
    <w:p w:rsidR="00836CA4" w:rsidRDefault="00836CA4" w:rsidP="00AC34B5">
      <w:pPr>
        <w:pStyle w:val="ConsPlusNormal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М</w:t>
      </w:r>
      <w:r w:rsidRPr="00835814">
        <w:rPr>
          <w:rFonts w:ascii="Times New Roman" w:hAnsi="Times New Roman" w:cs="Times New Roman"/>
          <w:bCs/>
          <w:sz w:val="28"/>
          <w:szCs w:val="28"/>
        </w:rPr>
        <w:t xml:space="preserve">едицинские организации, которые осуществляют </w:t>
      </w:r>
      <w:r w:rsidRPr="00835814">
        <w:rPr>
          <w:rFonts w:ascii="Times New Roman" w:hAnsi="Times New Roman" w:cs="Times New Roman"/>
          <w:sz w:val="28"/>
          <w:szCs w:val="28"/>
        </w:rPr>
        <w:t xml:space="preserve">заготовку донорской крови и (или) ее компонентов и не заполняют раздел 6, указывают всю бракованную кровь и (или) ее компоненты по графе 12 таблицы 3000 (включая донорскую кровь и ее компоненты, бракованную в экспедиции). </w:t>
      </w:r>
    </w:p>
    <w:p w:rsidR="008F685C" w:rsidRPr="00835814" w:rsidRDefault="008F685C" w:rsidP="00AC34B5">
      <w:pPr>
        <w:pStyle w:val="ConsPlusNormal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необходимо указать объем лейкотромбослоя, если он был передан для научных целей иным организациям (указать организацию получателя).</w:t>
      </w:r>
    </w:p>
    <w:p w:rsidR="000F667D" w:rsidRPr="00835814" w:rsidRDefault="00424CE7" w:rsidP="00AC34B5">
      <w:pPr>
        <w:pStyle w:val="ConsPlusNormal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73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2" w:history="1">
        <w:r w:rsidRPr="006A7307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6A7307">
        <w:rPr>
          <w:rFonts w:ascii="Times New Roman" w:hAnsi="Times New Roman" w:cs="Times New Roman"/>
          <w:sz w:val="28"/>
          <w:szCs w:val="28"/>
        </w:rPr>
        <w:t xml:space="preserve"> "Причины </w:t>
      </w:r>
      <w:r w:rsidRPr="00835814">
        <w:rPr>
          <w:rFonts w:ascii="Times New Roman" w:hAnsi="Times New Roman" w:cs="Times New Roman"/>
          <w:sz w:val="28"/>
          <w:szCs w:val="28"/>
        </w:rPr>
        <w:t>браковки донорской крови и ее компонентов" указываются причины браковки донорской крови и (или) ее компонентов до передачи в экспедицию, без включения донорской крови и ее компонентов, списанных по истечении срока хранения.</w:t>
      </w:r>
    </w:p>
    <w:p w:rsidR="00B949E2" w:rsidRPr="00835814" w:rsidRDefault="00B949E2" w:rsidP="00AC34B5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lastRenderedPageBreak/>
        <w:t>По таблицам 3000 и 6000 объем иммунной антиковидной плазмы патогенредуцированной необходимо показывать по иммунной SARS-CoV-2, в патогенредуцированную плазму не дублировать.</w:t>
      </w:r>
    </w:p>
    <w:p w:rsidR="00E12963" w:rsidRPr="00B75BE9" w:rsidRDefault="00E12963" w:rsidP="00AC34B5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5BE9">
        <w:rPr>
          <w:rFonts w:ascii="Times New Roman" w:hAnsi="Times New Roman" w:cs="Times New Roman"/>
          <w:sz w:val="28"/>
          <w:szCs w:val="28"/>
        </w:rPr>
        <w:t xml:space="preserve">Уточнение к пунктам 16.7 и 16.8 Приложения №2 к приказу </w:t>
      </w:r>
      <w:r w:rsidR="00E46266">
        <w:rPr>
          <w:rFonts w:ascii="Times New Roman" w:hAnsi="Times New Roman" w:cs="Times New Roman"/>
          <w:sz w:val="28"/>
          <w:szCs w:val="28"/>
        </w:rPr>
        <w:t>№1138н</w:t>
      </w:r>
      <w:r w:rsidRPr="00B75BE9">
        <w:rPr>
          <w:rFonts w:ascii="Times New Roman" w:hAnsi="Times New Roman" w:cs="Times New Roman"/>
          <w:sz w:val="28"/>
          <w:szCs w:val="28"/>
        </w:rPr>
        <w:t xml:space="preserve">: </w:t>
      </w:r>
      <w:r w:rsidR="00B75BE9" w:rsidRPr="00B75BE9">
        <w:rPr>
          <w:rFonts w:ascii="Times New Roman" w:hAnsi="Times New Roman" w:cs="Times New Roman"/>
          <w:sz w:val="28"/>
          <w:szCs w:val="28"/>
        </w:rPr>
        <w:t xml:space="preserve">в таблице 5000 </w:t>
      </w:r>
      <w:r w:rsidRPr="00B75BE9">
        <w:rPr>
          <w:rFonts w:ascii="Times New Roman" w:hAnsi="Times New Roman" w:cs="Times New Roman"/>
          <w:sz w:val="28"/>
          <w:szCs w:val="28"/>
        </w:rPr>
        <w:t>сумма граф 4-6 может быть не равна графе 3, сумма граф 8 и 9 может быть не равна графе 7.</w:t>
      </w:r>
      <w:r w:rsidR="00AC427D" w:rsidRPr="00B7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F5" w:rsidRPr="00835814" w:rsidRDefault="001C6FF5" w:rsidP="00AC34B5">
      <w:pPr>
        <w:pStyle w:val="a3"/>
        <w:numPr>
          <w:ilvl w:val="0"/>
          <w:numId w:val="2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В разделе 5 «Сведения о карантинизации плазмы» (таблица 5000): по графе 3 необходимо показать весь объем плазмы, прошедший в отчетном году повторное обследование по окончании срока карантинизации, в том числе объем плазмы для заготовки криопреципитата и криосупернатантной плазмы</w:t>
      </w:r>
      <w:r w:rsidR="000D1D4E">
        <w:rPr>
          <w:rFonts w:ascii="Times New Roman" w:hAnsi="Times New Roman" w:cs="Times New Roman"/>
          <w:sz w:val="28"/>
          <w:szCs w:val="28"/>
        </w:rPr>
        <w:t>, объем карантинизированной плазмы на хранении в экспедиции</w:t>
      </w:r>
      <w:r w:rsidRPr="00835814">
        <w:rPr>
          <w:rFonts w:ascii="Times New Roman" w:hAnsi="Times New Roman" w:cs="Times New Roman"/>
          <w:sz w:val="28"/>
          <w:szCs w:val="28"/>
        </w:rPr>
        <w:t>. По графе 4 необходимо показать объем плазмы, выданный для клинического использования из экспедиции в медицинские организации. В пояснительной записке необходимо расшифровать разницу между графой 3 и суммой граф 4-6 (</w:t>
      </w:r>
      <w:r w:rsidR="003B1640">
        <w:rPr>
          <w:rFonts w:ascii="Times New Roman" w:hAnsi="Times New Roman" w:cs="Times New Roman"/>
          <w:sz w:val="28"/>
          <w:szCs w:val="28"/>
        </w:rPr>
        <w:t xml:space="preserve">разница может быть за счет </w:t>
      </w:r>
      <w:r w:rsidRPr="00835814">
        <w:rPr>
          <w:rFonts w:ascii="Times New Roman" w:hAnsi="Times New Roman" w:cs="Times New Roman"/>
          <w:sz w:val="28"/>
          <w:szCs w:val="28"/>
        </w:rPr>
        <w:t>объем</w:t>
      </w:r>
      <w:r w:rsidR="003B1640">
        <w:rPr>
          <w:rFonts w:ascii="Times New Roman" w:hAnsi="Times New Roman" w:cs="Times New Roman"/>
          <w:sz w:val="28"/>
          <w:szCs w:val="28"/>
        </w:rPr>
        <w:t>а</w:t>
      </w:r>
      <w:r w:rsidRPr="00835814">
        <w:rPr>
          <w:rFonts w:ascii="Times New Roman" w:hAnsi="Times New Roman" w:cs="Times New Roman"/>
          <w:sz w:val="28"/>
          <w:szCs w:val="28"/>
        </w:rPr>
        <w:t xml:space="preserve"> плазмы на хранении в экспедиции, объем</w:t>
      </w:r>
      <w:r w:rsidR="003B1640">
        <w:rPr>
          <w:rFonts w:ascii="Times New Roman" w:hAnsi="Times New Roman" w:cs="Times New Roman"/>
          <w:sz w:val="28"/>
          <w:szCs w:val="28"/>
        </w:rPr>
        <w:t>а</w:t>
      </w:r>
      <w:r w:rsidRPr="00835814">
        <w:rPr>
          <w:rFonts w:ascii="Times New Roman" w:hAnsi="Times New Roman" w:cs="Times New Roman"/>
          <w:sz w:val="28"/>
          <w:szCs w:val="28"/>
        </w:rPr>
        <w:t xml:space="preserve"> плазмы для заготовки криопреципитата и криосупернатантной плазмы (если осуществлялась их заготовка) и др.)</w:t>
      </w:r>
    </w:p>
    <w:p w:rsidR="00424CE7" w:rsidRPr="00835814" w:rsidRDefault="00424CE7" w:rsidP="00AC34B5">
      <w:pPr>
        <w:pStyle w:val="ConsPlusNormal"/>
        <w:numPr>
          <w:ilvl w:val="0"/>
          <w:numId w:val="2"/>
        </w:numPr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D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6" w:history="1">
        <w:r w:rsidRPr="00804D93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804D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8" w:history="1">
        <w:r w:rsidRPr="00804D9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04D93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835814">
        <w:rPr>
          <w:rFonts w:ascii="Times New Roman" w:hAnsi="Times New Roman" w:cs="Times New Roman"/>
          <w:sz w:val="28"/>
          <w:szCs w:val="28"/>
        </w:rPr>
        <w:t>5000 указывается количество плазмы, снятой с карантина, в том числе из-за неявки доноров на повторное обследование.</w:t>
      </w:r>
    </w:p>
    <w:p w:rsidR="001C6FF5" w:rsidRPr="00835814" w:rsidRDefault="001C6FF5" w:rsidP="00AC34B5">
      <w:pPr>
        <w:pStyle w:val="a3"/>
        <w:numPr>
          <w:ilvl w:val="0"/>
          <w:numId w:val="2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По таблице 5000 в случае разницы между графой 7 и суммой граф 8-9 необходимо в пояснительной записке расшифровать разницу (разница может быть, например, за счет объема плазмы, переданного для научных целей).</w:t>
      </w:r>
    </w:p>
    <w:p w:rsidR="00387CC0" w:rsidRPr="00835814" w:rsidRDefault="00387CC0" w:rsidP="00AC34B5">
      <w:pPr>
        <w:pStyle w:val="a3"/>
        <w:numPr>
          <w:ilvl w:val="0"/>
          <w:numId w:val="2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Необходима расшифровка в пояснительной записке разницы (если имеется) между графой 4 таблицы 5000 (выдано для клинического использования) и графами 3+4 (Получено для клинического использования) строки 20 + строки 30 (если иммунная плазма была карантинизирована) таблицы 6000.</w:t>
      </w:r>
    </w:p>
    <w:p w:rsidR="00840EF8" w:rsidRPr="00835814" w:rsidRDefault="00BE0643" w:rsidP="00AC34B5">
      <w:pPr>
        <w:pStyle w:val="a3"/>
        <w:numPr>
          <w:ilvl w:val="0"/>
          <w:numId w:val="2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hyperlink w:anchor="P839" w:history="1">
        <w:r w:rsidR="00840EF8" w:rsidRPr="008358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 6</w:t>
        </w:r>
      </w:hyperlink>
      <w:r w:rsidR="00840EF8" w:rsidRPr="00835814">
        <w:rPr>
          <w:rFonts w:ascii="Times New Roman" w:hAnsi="Times New Roman" w:cs="Times New Roman"/>
          <w:sz w:val="28"/>
          <w:szCs w:val="28"/>
        </w:rPr>
        <w:t xml:space="preserve"> формы №64 заполняют все медицинские организации, находящиеся на территории субъекта, осуществляющие клиническое использование компонентов донорской крови и лекарственных препаратов, произведенных из плазмы крови человека.</w:t>
      </w:r>
    </w:p>
    <w:p w:rsidR="007864DE" w:rsidRPr="00D83767" w:rsidRDefault="00DB3FB4" w:rsidP="007864DE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767">
        <w:rPr>
          <w:rFonts w:ascii="Times New Roman" w:hAnsi="Times New Roman" w:cs="Times New Roman"/>
          <w:bCs/>
          <w:sz w:val="28"/>
          <w:szCs w:val="28"/>
        </w:rPr>
        <w:t xml:space="preserve">Для медицинских учреждений, заполняющих форму №30: </w:t>
      </w:r>
      <w:r w:rsidR="007864DE" w:rsidRPr="00D83767">
        <w:rPr>
          <w:rFonts w:ascii="Times New Roman" w:hAnsi="Times New Roman" w:cs="Times New Roman"/>
          <w:bCs/>
          <w:sz w:val="28"/>
          <w:szCs w:val="28"/>
        </w:rPr>
        <w:t xml:space="preserve">Данные по таблице 6000 формы №64 </w:t>
      </w:r>
      <w:r w:rsidR="0014085C" w:rsidRPr="00D83767">
        <w:rPr>
          <w:rFonts w:ascii="Times New Roman" w:hAnsi="Times New Roman" w:cs="Times New Roman"/>
          <w:bCs/>
          <w:sz w:val="28"/>
          <w:szCs w:val="28"/>
        </w:rPr>
        <w:t xml:space="preserve">(количество трансфузий и объем перелитых компонентов донорской крови) </w:t>
      </w:r>
      <w:r w:rsidR="007864DE" w:rsidRPr="00D83767">
        <w:rPr>
          <w:rFonts w:ascii="Times New Roman" w:hAnsi="Times New Roman" w:cs="Times New Roman"/>
          <w:bCs/>
          <w:sz w:val="28"/>
          <w:szCs w:val="28"/>
        </w:rPr>
        <w:t>должны быть равны данным по таблице 3200 формы №30</w:t>
      </w:r>
      <w:r w:rsidR="00BF08FE" w:rsidRPr="00D83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4DE" w:rsidRPr="00D83767">
        <w:rPr>
          <w:rFonts w:ascii="Times New Roman" w:hAnsi="Times New Roman" w:cs="Times New Roman"/>
          <w:bCs/>
          <w:sz w:val="28"/>
          <w:szCs w:val="28"/>
        </w:rPr>
        <w:t>в следующих строках и графах:</w:t>
      </w:r>
    </w:p>
    <w:p w:rsidR="007864DE" w:rsidRPr="00D83767" w:rsidRDefault="007864DE" w:rsidP="007864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767">
        <w:rPr>
          <w:rFonts w:ascii="Times New Roman" w:hAnsi="Times New Roman" w:cs="Times New Roman"/>
          <w:bCs/>
          <w:sz w:val="28"/>
          <w:szCs w:val="28"/>
        </w:rPr>
        <w:t xml:space="preserve">Форма 64, таблица 6000, графа 6, сумма строк 3 – 9, 24 – 25 = форма 30, таблица 3200, графа 4, строка 2 </w:t>
      </w:r>
    </w:p>
    <w:p w:rsidR="007864DE" w:rsidRPr="00D83767" w:rsidRDefault="007864DE" w:rsidP="007864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767">
        <w:rPr>
          <w:rFonts w:ascii="Times New Roman" w:hAnsi="Times New Roman" w:cs="Times New Roman"/>
          <w:bCs/>
          <w:sz w:val="28"/>
          <w:szCs w:val="28"/>
        </w:rPr>
        <w:t>Форма 64, таблица 6000, графа 8, сумма строк 3 – 9, 24 – 25 = форма 30, таблица 3200, графа 5, строка 2</w:t>
      </w:r>
    </w:p>
    <w:p w:rsidR="007864DE" w:rsidRPr="00D83767" w:rsidRDefault="007864DE" w:rsidP="007864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767">
        <w:rPr>
          <w:rFonts w:ascii="Times New Roman" w:hAnsi="Times New Roman" w:cs="Times New Roman"/>
          <w:bCs/>
          <w:sz w:val="28"/>
          <w:szCs w:val="28"/>
        </w:rPr>
        <w:t>Форма 64, таблица 6000, графа 6, сумма строк 10 – 19, 26 = форма 30, таблица 3200, графа 4, строка 4</w:t>
      </w:r>
    </w:p>
    <w:p w:rsidR="007864DE" w:rsidRPr="00D83767" w:rsidRDefault="007864DE" w:rsidP="007864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767">
        <w:rPr>
          <w:rFonts w:ascii="Times New Roman" w:hAnsi="Times New Roman" w:cs="Times New Roman"/>
          <w:bCs/>
          <w:sz w:val="28"/>
          <w:szCs w:val="28"/>
        </w:rPr>
        <w:t>Форма 64, таблица 6000, графа 8, сумма строк 10 – 19, 26 = форма 30, таблица 3200, графа 5, строка 4</w:t>
      </w:r>
    </w:p>
    <w:p w:rsidR="007864DE" w:rsidRPr="00D83767" w:rsidRDefault="007864DE" w:rsidP="007864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767">
        <w:rPr>
          <w:rFonts w:ascii="Times New Roman" w:hAnsi="Times New Roman" w:cs="Times New Roman"/>
          <w:bCs/>
          <w:sz w:val="28"/>
          <w:szCs w:val="28"/>
        </w:rPr>
        <w:t xml:space="preserve">Форма 64, таблица 6000, графа 6, сумма строк 20 – </w:t>
      </w:r>
      <w:r w:rsidR="00DB3FB4" w:rsidRPr="00BE0643">
        <w:rPr>
          <w:rFonts w:ascii="Times New Roman" w:hAnsi="Times New Roman" w:cs="Times New Roman"/>
          <w:bCs/>
          <w:sz w:val="28"/>
          <w:szCs w:val="28"/>
          <w:highlight w:val="green"/>
        </w:rPr>
        <w:t>22</w:t>
      </w:r>
      <w:r w:rsidRPr="00D83767">
        <w:rPr>
          <w:rFonts w:ascii="Times New Roman" w:hAnsi="Times New Roman" w:cs="Times New Roman"/>
          <w:bCs/>
          <w:sz w:val="28"/>
          <w:szCs w:val="28"/>
        </w:rPr>
        <w:t>, 27 – 30 = форма 30, таблица 3200, графа 4, строка 3</w:t>
      </w:r>
    </w:p>
    <w:p w:rsidR="007864DE" w:rsidRDefault="007864DE" w:rsidP="007864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7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Форма 64, таблица 6000, графа 8, сумма строк 20 </w:t>
      </w:r>
      <w:r w:rsidRPr="00BE064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B3FB4" w:rsidRPr="00BE0643">
        <w:rPr>
          <w:rFonts w:ascii="Times New Roman" w:hAnsi="Times New Roman" w:cs="Times New Roman"/>
          <w:bCs/>
          <w:sz w:val="28"/>
          <w:szCs w:val="28"/>
          <w:highlight w:val="green"/>
        </w:rPr>
        <w:t>22</w:t>
      </w:r>
      <w:r w:rsidRPr="00BE0643">
        <w:rPr>
          <w:rFonts w:ascii="Times New Roman" w:hAnsi="Times New Roman" w:cs="Times New Roman"/>
          <w:bCs/>
          <w:sz w:val="28"/>
          <w:szCs w:val="28"/>
          <w:highlight w:val="green"/>
        </w:rPr>
        <w:t>,</w:t>
      </w:r>
      <w:r w:rsidRPr="00D83767"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Pr="00DB3FB4">
        <w:rPr>
          <w:rFonts w:ascii="Times New Roman" w:hAnsi="Times New Roman" w:cs="Times New Roman"/>
          <w:bCs/>
          <w:sz w:val="28"/>
          <w:szCs w:val="28"/>
        </w:rPr>
        <w:t xml:space="preserve"> – 30 = форма 30, таблица 3200, графа 5, строка 3</w:t>
      </w:r>
    </w:p>
    <w:p w:rsidR="00BE0643" w:rsidRPr="00DB3FB4" w:rsidRDefault="00BE0643" w:rsidP="007864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BE0643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таблица 3200 формы 30 формируется автоматически исходя из данных, вносимых в таблицу 6000 формы 64. Вносятся только данные о посттрансфузионных осложнениях и </w:t>
      </w:r>
      <w:proofErr w:type="spellStart"/>
      <w:r w:rsidRPr="00BE0643">
        <w:rPr>
          <w:rFonts w:ascii="Times New Roman" w:hAnsi="Times New Roman" w:cs="Times New Roman"/>
          <w:bCs/>
          <w:sz w:val="28"/>
          <w:szCs w:val="28"/>
          <w:highlight w:val="green"/>
        </w:rPr>
        <w:t>аутогемотрансфузиях</w:t>
      </w:r>
      <w:proofErr w:type="spellEnd"/>
      <w:r w:rsidRPr="00BE0643">
        <w:rPr>
          <w:rFonts w:ascii="Times New Roman" w:hAnsi="Times New Roman" w:cs="Times New Roman"/>
          <w:bCs/>
          <w:sz w:val="28"/>
          <w:szCs w:val="28"/>
          <w:highlight w:val="green"/>
        </w:rPr>
        <w:t>*</w:t>
      </w:r>
      <w:bookmarkStart w:id="0" w:name="_GoBack"/>
      <w:bookmarkEnd w:id="0"/>
    </w:p>
    <w:p w:rsidR="00D14F0C" w:rsidRPr="00835814" w:rsidRDefault="00D14F0C" w:rsidP="00661192">
      <w:pPr>
        <w:pStyle w:val="a3"/>
        <w:numPr>
          <w:ilvl w:val="0"/>
          <w:numId w:val="2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 xml:space="preserve">В таблице 6000 раздела 6 в </w:t>
      </w:r>
      <w:hyperlink w:anchor="P861" w:history="1">
        <w:r w:rsidRPr="00835814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указывается количество компонентов донорской крови, </w:t>
      </w:r>
      <w:r w:rsidR="00387CC0" w:rsidRPr="0083581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835814">
        <w:rPr>
          <w:rFonts w:ascii="Times New Roman" w:hAnsi="Times New Roman" w:cs="Times New Roman"/>
          <w:sz w:val="28"/>
          <w:szCs w:val="28"/>
        </w:rPr>
        <w:t xml:space="preserve">заготовленных медицинской организацией по видам компонентов донорской крови согласно </w:t>
      </w:r>
      <w:hyperlink r:id="rId6" w:history="1">
        <w:r w:rsidRPr="00835814">
          <w:rPr>
            <w:rFonts w:ascii="Times New Roman" w:hAnsi="Times New Roman" w:cs="Times New Roman"/>
            <w:sz w:val="28"/>
            <w:szCs w:val="28"/>
          </w:rPr>
          <w:t>приложению № 1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к Правилам заготовки, хранения, транспортировки и клинического использования донорской крови и ее компонентов, утвержденным постановлением Правительства Российской Федерации от 22 июня 2019 г. №797.</w:t>
      </w:r>
    </w:p>
    <w:p w:rsidR="00D14F0C" w:rsidRPr="00835814" w:rsidRDefault="00604AFA" w:rsidP="00AC34B5">
      <w:pPr>
        <w:pStyle w:val="a3"/>
        <w:numPr>
          <w:ilvl w:val="0"/>
          <w:numId w:val="2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14F0C" w:rsidRPr="00835814">
        <w:rPr>
          <w:rFonts w:ascii="Times New Roman" w:hAnsi="Times New Roman" w:cs="Times New Roman"/>
          <w:bCs/>
          <w:sz w:val="28"/>
          <w:szCs w:val="28"/>
        </w:rPr>
        <w:t xml:space="preserve"> таблице 6000 по графе 9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4F0C" w:rsidRPr="00835814">
        <w:rPr>
          <w:rFonts w:ascii="Times New Roman" w:hAnsi="Times New Roman" w:cs="Times New Roman"/>
          <w:bCs/>
          <w:sz w:val="28"/>
          <w:szCs w:val="28"/>
        </w:rPr>
        <w:t>пояснительн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D14F0C" w:rsidRPr="00835814">
        <w:rPr>
          <w:rFonts w:ascii="Times New Roman" w:hAnsi="Times New Roman" w:cs="Times New Roman"/>
          <w:bCs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14F0C" w:rsidRPr="00835814">
        <w:rPr>
          <w:rFonts w:ascii="Times New Roman" w:hAnsi="Times New Roman" w:cs="Times New Roman"/>
          <w:bCs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D14F0C" w:rsidRPr="00835814">
        <w:rPr>
          <w:rFonts w:ascii="Times New Roman" w:hAnsi="Times New Roman" w:cs="Times New Roman"/>
          <w:bCs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D14F0C" w:rsidRPr="00835814">
        <w:rPr>
          <w:rFonts w:ascii="Times New Roman" w:hAnsi="Times New Roman" w:cs="Times New Roman"/>
          <w:bCs/>
          <w:sz w:val="28"/>
          <w:szCs w:val="28"/>
        </w:rPr>
        <w:t xml:space="preserve"> утилизации компонентов донорской крови (истечение срока годности, </w:t>
      </w:r>
      <w:r w:rsidR="00D14F0C" w:rsidRPr="00835814">
        <w:rPr>
          <w:rFonts w:ascii="Times New Roman" w:hAnsi="Times New Roman" w:cs="Times New Roman"/>
          <w:sz w:val="28"/>
          <w:szCs w:val="28"/>
        </w:rPr>
        <w:t>нарушение герметичности, гемолиз, хилез, смерть пациента, отказ пациента от трансфузии,</w:t>
      </w:r>
      <w:r w:rsidR="00D4773E">
        <w:rPr>
          <w:rFonts w:ascii="Times New Roman" w:hAnsi="Times New Roman" w:cs="Times New Roman"/>
          <w:sz w:val="28"/>
          <w:szCs w:val="28"/>
        </w:rPr>
        <w:t xml:space="preserve"> </w:t>
      </w:r>
      <w:r w:rsidR="00D14F0C" w:rsidRPr="00835814">
        <w:rPr>
          <w:rFonts w:ascii="Times New Roman" w:hAnsi="Times New Roman" w:cs="Times New Roman"/>
          <w:sz w:val="28"/>
          <w:szCs w:val="28"/>
        </w:rPr>
        <w:t>технологическая неисправность мед</w:t>
      </w:r>
      <w:r w:rsidR="000C5DD8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D14F0C" w:rsidRPr="00835814">
        <w:rPr>
          <w:rFonts w:ascii="Times New Roman" w:hAnsi="Times New Roman" w:cs="Times New Roman"/>
          <w:sz w:val="28"/>
          <w:szCs w:val="28"/>
        </w:rPr>
        <w:t>оборудования, нарушение условий хранения (бой), отвод донора и др.).</w:t>
      </w:r>
    </w:p>
    <w:p w:rsidR="00424CE7" w:rsidRPr="00835814" w:rsidRDefault="00424CE7" w:rsidP="00AC34B5">
      <w:pPr>
        <w:pStyle w:val="a3"/>
        <w:numPr>
          <w:ilvl w:val="0"/>
          <w:numId w:val="2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В Приложении №2 к приказу №1138н в пунктах 17.2 и 17.3 имеется несоответствие наименования компонентов крови номеру строк. По пункту 17.2 - количество концентрата тромбоцитов, если он получен методом афереза в добавочном растворе (лейкоредуцированный или без лейкоредукции) патогенредуцированный указывается в строке 18 (без указания в строках 17 и 19). По пункту 17.3 - свежезамороженная плазма, прошедшая карантинизацию, указывается в строке 20.</w:t>
      </w:r>
    </w:p>
    <w:p w:rsidR="003141AF" w:rsidRDefault="003141AF" w:rsidP="00AC34B5">
      <w:pPr>
        <w:pStyle w:val="ConsPlusNormal"/>
        <w:numPr>
          <w:ilvl w:val="0"/>
          <w:numId w:val="2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60" w:history="1">
        <w:r w:rsidRPr="00835814">
          <w:rPr>
            <w:rFonts w:ascii="Times New Roman" w:hAnsi="Times New Roman" w:cs="Times New Roman"/>
            <w:sz w:val="28"/>
            <w:szCs w:val="28"/>
          </w:rPr>
          <w:t>таблице 6100 раздела 6</w:t>
        </w:r>
      </w:hyperlink>
      <w:r w:rsidRPr="00835814">
        <w:rPr>
          <w:rFonts w:ascii="Times New Roman" w:hAnsi="Times New Roman" w:cs="Times New Roman"/>
          <w:sz w:val="28"/>
          <w:szCs w:val="28"/>
        </w:rPr>
        <w:t xml:space="preserve"> </w:t>
      </w:r>
      <w:r w:rsidR="00FF7F19" w:rsidRPr="00835814">
        <w:rPr>
          <w:rFonts w:ascii="Times New Roman" w:hAnsi="Times New Roman" w:cs="Times New Roman"/>
          <w:sz w:val="28"/>
          <w:szCs w:val="28"/>
        </w:rPr>
        <w:t>в</w:t>
      </w:r>
      <w:r w:rsidRPr="00835814">
        <w:rPr>
          <w:rFonts w:ascii="Times New Roman" w:hAnsi="Times New Roman" w:cs="Times New Roman"/>
          <w:sz w:val="28"/>
          <w:szCs w:val="28"/>
        </w:rPr>
        <w:t xml:space="preserve"> графе 3 указываются данные о полученных для клинического использования в отчетном году лекарственных препаратах, произведенных из плазмы крови человека.</w:t>
      </w:r>
    </w:p>
    <w:p w:rsidR="000C5F86" w:rsidRPr="00FC1AB7" w:rsidRDefault="000C5F86" w:rsidP="000C5F86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7000 «Хранение компонентов донорской крови» по строке 5 «Другое» может быть указан объем криосупернатантной плазмы, патогенредуцированной плазмы. </w:t>
      </w:r>
    </w:p>
    <w:p w:rsidR="003141AF" w:rsidRPr="00835814" w:rsidRDefault="00BE0643" w:rsidP="00AC34B5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w:anchor="P1275" w:history="1">
        <w:r w:rsidR="002952BF" w:rsidRPr="00835814">
          <w:rPr>
            <w:rFonts w:ascii="Times New Roman" w:hAnsi="Times New Roman" w:cs="Times New Roman"/>
            <w:sz w:val="28"/>
            <w:szCs w:val="28"/>
          </w:rPr>
          <w:t>Таблица 8000</w:t>
        </w:r>
      </w:hyperlink>
      <w:r w:rsidR="002952BF" w:rsidRPr="00835814">
        <w:rPr>
          <w:rFonts w:ascii="Times New Roman" w:hAnsi="Times New Roman" w:cs="Times New Roman"/>
          <w:sz w:val="28"/>
          <w:szCs w:val="28"/>
        </w:rPr>
        <w:t xml:space="preserve"> раздела 8 заполняется организациями службы крови, осуществляющими производство лекарственных препаратов из плазмы крови человека. </w:t>
      </w:r>
      <w:r w:rsidR="00F5558E" w:rsidRPr="00463E07">
        <w:rPr>
          <w:rFonts w:ascii="Times New Roman" w:eastAsia="Times New Roman" w:hAnsi="Times New Roman" w:cs="Times New Roman"/>
          <w:bCs/>
          <w:sz w:val="28"/>
          <w:szCs w:val="28"/>
        </w:rPr>
        <w:t>В таблице 8000 указываются данные по объему плазмы, направленной на собственное производство и плазмы, полученной от других медицинских организаций, осуществляющих заготовку донорской крови и (или) ее компонентов и направленной на производство лекарственных препаратов.</w:t>
      </w:r>
    </w:p>
    <w:p w:rsidR="00D14F0C" w:rsidRPr="00204337" w:rsidRDefault="00D14F0C" w:rsidP="00AC34B5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A91">
        <w:rPr>
          <w:rFonts w:ascii="Times New Roman" w:hAnsi="Times New Roman" w:cs="Times New Roman"/>
          <w:bCs/>
          <w:sz w:val="28"/>
          <w:szCs w:val="28"/>
        </w:rPr>
        <w:t xml:space="preserve">Если были </w:t>
      </w:r>
      <w:r w:rsidRPr="00204337">
        <w:rPr>
          <w:rFonts w:ascii="Times New Roman" w:hAnsi="Times New Roman" w:cs="Times New Roman"/>
          <w:bCs/>
          <w:sz w:val="28"/>
          <w:szCs w:val="28"/>
        </w:rPr>
        <w:t xml:space="preserve">произведены </w:t>
      </w:r>
      <w:proofErr w:type="spellStart"/>
      <w:r w:rsidRPr="00204337">
        <w:rPr>
          <w:rFonts w:ascii="Times New Roman" w:hAnsi="Times New Roman" w:cs="Times New Roman"/>
          <w:bCs/>
          <w:sz w:val="28"/>
          <w:szCs w:val="28"/>
        </w:rPr>
        <w:t>ауто</w:t>
      </w:r>
      <w:r w:rsidR="004C2862" w:rsidRPr="00204337">
        <w:rPr>
          <w:rFonts w:ascii="Times New Roman" w:hAnsi="Times New Roman" w:cs="Times New Roman"/>
          <w:bCs/>
          <w:sz w:val="28"/>
          <w:szCs w:val="28"/>
        </w:rPr>
        <w:t>логичные</w:t>
      </w:r>
      <w:proofErr w:type="spellEnd"/>
      <w:r w:rsidR="004C2862" w:rsidRPr="00204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337">
        <w:rPr>
          <w:rFonts w:ascii="Times New Roman" w:hAnsi="Times New Roman" w:cs="Times New Roman"/>
          <w:bCs/>
          <w:sz w:val="28"/>
          <w:szCs w:val="28"/>
        </w:rPr>
        <w:t>трансфузии, то необходимо в пояснительной записке указать: объем полученных годных для клинического использования компонентов крови</w:t>
      </w:r>
      <w:r w:rsidR="004C2862" w:rsidRPr="00204337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4C2862" w:rsidRPr="00204337">
        <w:rPr>
          <w:rFonts w:ascii="Times New Roman" w:hAnsi="Times New Roman" w:cs="Times New Roman"/>
          <w:bCs/>
          <w:sz w:val="28"/>
          <w:szCs w:val="28"/>
        </w:rPr>
        <w:t>аутологичных</w:t>
      </w:r>
      <w:proofErr w:type="spellEnd"/>
      <w:r w:rsidR="004C2862" w:rsidRPr="00204337">
        <w:rPr>
          <w:rFonts w:ascii="Times New Roman" w:hAnsi="Times New Roman" w:cs="Times New Roman"/>
          <w:bCs/>
          <w:sz w:val="28"/>
          <w:szCs w:val="28"/>
        </w:rPr>
        <w:t xml:space="preserve"> трансфузий</w:t>
      </w:r>
      <w:r w:rsidRPr="00204337">
        <w:rPr>
          <w:rFonts w:ascii="Times New Roman" w:hAnsi="Times New Roman" w:cs="Times New Roman"/>
          <w:bCs/>
          <w:sz w:val="28"/>
          <w:szCs w:val="28"/>
        </w:rPr>
        <w:t xml:space="preserve">, число реципиентов, количество </w:t>
      </w:r>
      <w:proofErr w:type="spellStart"/>
      <w:r w:rsidR="00CE0A91" w:rsidRPr="00204337">
        <w:rPr>
          <w:rFonts w:ascii="Times New Roman" w:hAnsi="Times New Roman" w:cs="Times New Roman"/>
          <w:bCs/>
          <w:sz w:val="28"/>
          <w:szCs w:val="28"/>
        </w:rPr>
        <w:t>аутологичных</w:t>
      </w:r>
      <w:proofErr w:type="spellEnd"/>
      <w:r w:rsidR="00CE0A91" w:rsidRPr="00204337">
        <w:rPr>
          <w:rFonts w:ascii="Times New Roman" w:hAnsi="Times New Roman" w:cs="Times New Roman"/>
          <w:bCs/>
          <w:sz w:val="28"/>
          <w:szCs w:val="28"/>
        </w:rPr>
        <w:t xml:space="preserve"> трансфузий</w:t>
      </w:r>
      <w:r w:rsidRPr="00204337">
        <w:rPr>
          <w:rFonts w:ascii="Times New Roman" w:hAnsi="Times New Roman" w:cs="Times New Roman"/>
          <w:bCs/>
          <w:sz w:val="28"/>
          <w:szCs w:val="28"/>
        </w:rPr>
        <w:t>, перелитый объем в литрах, объем утилизированных компонентов.</w:t>
      </w:r>
    </w:p>
    <w:p w:rsidR="00D14F0C" w:rsidRDefault="00D14F0C" w:rsidP="00AC34B5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A91">
        <w:rPr>
          <w:rFonts w:ascii="Times New Roman" w:hAnsi="Times New Roman" w:cs="Times New Roman"/>
          <w:bCs/>
          <w:sz w:val="28"/>
          <w:szCs w:val="28"/>
        </w:rPr>
        <w:t xml:space="preserve">По таблицам 1000 (строка 12), 1100 (графа 9), 1200 (строка 15), 3000 (графа </w:t>
      </w:r>
      <w:r w:rsidRPr="00835814">
        <w:rPr>
          <w:rFonts w:ascii="Times New Roman" w:hAnsi="Times New Roman" w:cs="Times New Roman"/>
          <w:bCs/>
          <w:sz w:val="28"/>
          <w:szCs w:val="28"/>
        </w:rPr>
        <w:t xml:space="preserve">12, строка 37), 4000 (графа 12), 6000 (строка 32), 6100 (строка 10), 7000 </w:t>
      </w:r>
      <w:r w:rsidRPr="00835814">
        <w:rPr>
          <w:rFonts w:ascii="Times New Roman" w:hAnsi="Times New Roman" w:cs="Times New Roman"/>
          <w:bCs/>
          <w:sz w:val="28"/>
          <w:szCs w:val="28"/>
        </w:rPr>
        <w:lastRenderedPageBreak/>
        <w:t>(строка 5), 8000 (графа 10, 11), 8100 (строка 14) в пояснительной записке необходима расшифровка.</w:t>
      </w:r>
    </w:p>
    <w:p w:rsidR="00876DDC" w:rsidRPr="00204337" w:rsidRDefault="00223C82" w:rsidP="001C116E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4337">
        <w:rPr>
          <w:rFonts w:ascii="Times New Roman" w:hAnsi="Times New Roman" w:cs="Times New Roman"/>
          <w:sz w:val="28"/>
          <w:szCs w:val="28"/>
        </w:rPr>
        <w:t xml:space="preserve">Пояснительные записки должны быть </w:t>
      </w:r>
      <w:r w:rsidRPr="00204337">
        <w:rPr>
          <w:rFonts w:ascii="Times New Roman" w:hAnsi="Times New Roman" w:cs="Times New Roman"/>
          <w:bCs/>
          <w:sz w:val="28"/>
          <w:szCs w:val="28"/>
        </w:rPr>
        <w:t xml:space="preserve">заверены подписью руководителя </w:t>
      </w:r>
      <w:r w:rsidRPr="00204337">
        <w:rPr>
          <w:rFonts w:ascii="Times New Roman" w:hAnsi="Times New Roman" w:cs="Times New Roman"/>
          <w:sz w:val="28"/>
          <w:szCs w:val="28"/>
        </w:rPr>
        <w:t>отчитывающегося</w:t>
      </w:r>
      <w:r w:rsidRPr="00204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337">
        <w:rPr>
          <w:rFonts w:ascii="Times New Roman" w:hAnsi="Times New Roman" w:cs="Times New Roman"/>
          <w:sz w:val="28"/>
          <w:szCs w:val="28"/>
        </w:rPr>
        <w:t>учреждения</w:t>
      </w:r>
      <w:r w:rsidR="00BA3BE3" w:rsidRPr="00204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16E" w:rsidRPr="00204337" w:rsidRDefault="007276C6" w:rsidP="00AC5C6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337">
        <w:rPr>
          <w:rFonts w:ascii="Times New Roman" w:hAnsi="Times New Roman" w:cs="Times New Roman"/>
          <w:bCs/>
          <w:sz w:val="28"/>
          <w:szCs w:val="28"/>
        </w:rPr>
        <w:t>Специалистам, ответственным за прием, контроль, обработку отчетов по форме №64 по субъекту:</w:t>
      </w:r>
      <w:r w:rsidRPr="00204337">
        <w:rPr>
          <w:rFonts w:ascii="Times New Roman" w:hAnsi="Times New Roman" w:cs="Times New Roman"/>
          <w:sz w:val="28"/>
          <w:szCs w:val="28"/>
        </w:rPr>
        <w:t xml:space="preserve"> п</w:t>
      </w:r>
      <w:r w:rsidR="00223C82" w:rsidRPr="00204337">
        <w:rPr>
          <w:rFonts w:ascii="Times New Roman" w:hAnsi="Times New Roman" w:cs="Times New Roman"/>
          <w:sz w:val="28"/>
          <w:szCs w:val="28"/>
        </w:rPr>
        <w:t xml:space="preserve">ояснительные записки предоставлять по </w:t>
      </w:r>
      <w:r w:rsidR="00223C82" w:rsidRPr="00204337">
        <w:rPr>
          <w:rFonts w:ascii="Times New Roman" w:hAnsi="Times New Roman" w:cs="Times New Roman"/>
          <w:bCs/>
          <w:sz w:val="28"/>
          <w:szCs w:val="28"/>
        </w:rPr>
        <w:t xml:space="preserve">четырем разрезам (4 пояснительные записки) </w:t>
      </w:r>
      <w:r w:rsidR="00BA3BE3" w:rsidRPr="00204337">
        <w:rPr>
          <w:rFonts w:ascii="Times New Roman" w:hAnsi="Times New Roman" w:cs="Times New Roman"/>
          <w:bCs/>
          <w:sz w:val="28"/>
          <w:szCs w:val="28"/>
        </w:rPr>
        <w:t>плюс</w:t>
      </w:r>
      <w:r w:rsidR="00BA3BE3" w:rsidRPr="00204337">
        <w:rPr>
          <w:rFonts w:ascii="Times New Roman" w:hAnsi="Times New Roman" w:cs="Times New Roman"/>
          <w:sz w:val="28"/>
          <w:szCs w:val="28"/>
        </w:rPr>
        <w:t xml:space="preserve"> </w:t>
      </w:r>
      <w:r w:rsidR="00BA3BE3" w:rsidRPr="00204337">
        <w:rPr>
          <w:rFonts w:ascii="Times New Roman" w:hAnsi="Times New Roman" w:cs="Times New Roman"/>
          <w:bCs/>
          <w:sz w:val="28"/>
          <w:szCs w:val="28"/>
        </w:rPr>
        <w:t xml:space="preserve">1 сводную пояснительную записку </w:t>
      </w:r>
      <w:r w:rsidR="00BA3BE3" w:rsidRPr="00204337">
        <w:rPr>
          <w:rFonts w:ascii="Times New Roman" w:hAnsi="Times New Roman" w:cs="Times New Roman"/>
          <w:sz w:val="28"/>
          <w:szCs w:val="28"/>
        </w:rPr>
        <w:t>к сводной отчетной форме в целом по субъекту</w:t>
      </w:r>
      <w:r w:rsidR="000166E8" w:rsidRPr="00204337">
        <w:rPr>
          <w:rFonts w:ascii="Times New Roman" w:hAnsi="Times New Roman" w:cs="Times New Roman"/>
          <w:sz w:val="28"/>
          <w:szCs w:val="28"/>
        </w:rPr>
        <w:t>.</w:t>
      </w:r>
      <w:r w:rsidR="00862A41" w:rsidRPr="00204337">
        <w:rPr>
          <w:rFonts w:ascii="Times New Roman" w:hAnsi="Times New Roman" w:cs="Times New Roman"/>
          <w:sz w:val="28"/>
          <w:szCs w:val="28"/>
        </w:rPr>
        <w:t xml:space="preserve"> </w:t>
      </w:r>
      <w:r w:rsidR="00223C82" w:rsidRPr="00204337">
        <w:rPr>
          <w:rFonts w:ascii="Times New Roman" w:hAnsi="Times New Roman" w:cs="Times New Roman"/>
          <w:sz w:val="28"/>
          <w:szCs w:val="28"/>
        </w:rPr>
        <w:t xml:space="preserve">Пояснительные записки должны быть </w:t>
      </w:r>
      <w:r w:rsidR="00223C82" w:rsidRPr="00204337">
        <w:rPr>
          <w:rFonts w:ascii="Times New Roman" w:hAnsi="Times New Roman" w:cs="Times New Roman"/>
          <w:bCs/>
          <w:sz w:val="28"/>
          <w:szCs w:val="28"/>
        </w:rPr>
        <w:t>заверены подписью руководителя</w:t>
      </w:r>
      <w:r w:rsidR="00223C82" w:rsidRPr="00204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C82" w:rsidRPr="00204337">
        <w:rPr>
          <w:rFonts w:ascii="Times New Roman" w:hAnsi="Times New Roman" w:cs="Times New Roman"/>
          <w:sz w:val="28"/>
          <w:szCs w:val="28"/>
        </w:rPr>
        <w:t>учреждения, назначенного ответственным за прием, контроль, обработку отчетов и формирование сводных отчетных форм по субъекту</w:t>
      </w:r>
      <w:r w:rsidR="004B214B" w:rsidRPr="00204337">
        <w:rPr>
          <w:rFonts w:ascii="Times New Roman" w:hAnsi="Times New Roman" w:cs="Times New Roman"/>
          <w:sz w:val="28"/>
          <w:szCs w:val="28"/>
        </w:rPr>
        <w:t>.</w:t>
      </w:r>
    </w:p>
    <w:p w:rsidR="00E72C1F" w:rsidRPr="0049777B" w:rsidRDefault="00E72C1F" w:rsidP="00E72C1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77B">
        <w:rPr>
          <w:rFonts w:ascii="Times New Roman" w:hAnsi="Times New Roman" w:cs="Times New Roman"/>
          <w:sz w:val="28"/>
          <w:szCs w:val="28"/>
        </w:rPr>
        <w:t>В пояснительн</w:t>
      </w:r>
      <w:r w:rsidR="00223C82">
        <w:rPr>
          <w:rFonts w:ascii="Times New Roman" w:hAnsi="Times New Roman" w:cs="Times New Roman"/>
          <w:sz w:val="28"/>
          <w:szCs w:val="28"/>
        </w:rPr>
        <w:t>ых</w:t>
      </w:r>
      <w:r w:rsidRPr="0049777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23C82">
        <w:rPr>
          <w:rFonts w:ascii="Times New Roman" w:hAnsi="Times New Roman" w:cs="Times New Roman"/>
          <w:sz w:val="28"/>
          <w:szCs w:val="28"/>
        </w:rPr>
        <w:t>ах</w:t>
      </w:r>
      <w:r w:rsidRPr="0049777B">
        <w:rPr>
          <w:rFonts w:ascii="Times New Roman" w:hAnsi="Times New Roman" w:cs="Times New Roman"/>
          <w:sz w:val="28"/>
          <w:szCs w:val="28"/>
        </w:rPr>
        <w:t xml:space="preserve"> к форме 64 необходимо указать </w:t>
      </w:r>
      <w:r w:rsidR="00E028B7" w:rsidRPr="0049777B">
        <w:rPr>
          <w:rFonts w:ascii="Times New Roman" w:hAnsi="Times New Roman" w:cs="Times New Roman"/>
          <w:sz w:val="28"/>
          <w:szCs w:val="28"/>
        </w:rPr>
        <w:t>отдельно по каждому разрезу перечень организаций, предоставивших форму 64 (наименование организаций обязательно).</w:t>
      </w:r>
      <w:r w:rsidR="0049777B">
        <w:rPr>
          <w:rFonts w:ascii="Times New Roman" w:hAnsi="Times New Roman" w:cs="Times New Roman"/>
          <w:sz w:val="28"/>
          <w:szCs w:val="28"/>
        </w:rPr>
        <w:t xml:space="preserve"> </w:t>
      </w:r>
      <w:r w:rsidRPr="0049777B">
        <w:rPr>
          <w:rFonts w:ascii="Times New Roman" w:hAnsi="Times New Roman" w:cs="Times New Roman"/>
          <w:sz w:val="28"/>
          <w:szCs w:val="28"/>
        </w:rPr>
        <w:t xml:space="preserve">Кроме того, необходимо указать </w:t>
      </w:r>
      <w:r w:rsidR="00F03BA1">
        <w:rPr>
          <w:rFonts w:ascii="Times New Roman" w:hAnsi="Times New Roman" w:cs="Times New Roman"/>
          <w:sz w:val="28"/>
          <w:szCs w:val="28"/>
        </w:rPr>
        <w:t xml:space="preserve">по каждому разрезу </w:t>
      </w:r>
      <w:r w:rsidRPr="0049777B">
        <w:rPr>
          <w:rFonts w:ascii="Times New Roman" w:hAnsi="Times New Roman" w:cs="Times New Roman"/>
          <w:sz w:val="28"/>
          <w:szCs w:val="28"/>
        </w:rPr>
        <w:t xml:space="preserve">медицинские организации, не предоставившие данные по форме 64 за отчетный год. </w:t>
      </w:r>
    </w:p>
    <w:p w:rsidR="00D14F0C" w:rsidRPr="00E622BD" w:rsidRDefault="00D14F0C" w:rsidP="00E622B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В пояснительной записке указать общее количество реципиентов – физических лиц, которым в отчетном году проводились трансфузии компонентов донорской крови (без дублирования</w:t>
      </w:r>
      <w:r w:rsidR="00E622BD">
        <w:rPr>
          <w:rFonts w:ascii="Times New Roman" w:hAnsi="Times New Roman" w:cs="Times New Roman"/>
          <w:sz w:val="28"/>
          <w:szCs w:val="28"/>
        </w:rPr>
        <w:t xml:space="preserve"> при всех госпитализациях в течение отчетного года</w:t>
      </w:r>
      <w:r w:rsidR="00E622BD" w:rsidRPr="00FC1A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4F0C" w:rsidRPr="00835814" w:rsidRDefault="00D14F0C" w:rsidP="00AC34B5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При заполнении формы в программе Медстат ячейки, отмеченные знаком «</w:t>
      </w:r>
      <w:r w:rsidRPr="008358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5814">
        <w:rPr>
          <w:rFonts w:ascii="Times New Roman" w:hAnsi="Times New Roman" w:cs="Times New Roman"/>
          <w:sz w:val="28"/>
          <w:szCs w:val="28"/>
        </w:rPr>
        <w:t>» (согласно приложению 1 к приказу №1138н) не заполнять.</w:t>
      </w:r>
    </w:p>
    <w:p w:rsidR="00D14F0C" w:rsidRPr="00835814" w:rsidRDefault="00D14F0C" w:rsidP="00AC34B5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Если произошло изменение данных за текущий отчетный период по сравнению с данными прошлого отчетного периода на 20% и более – необходимо в пояснительной записке указать причину.</w:t>
      </w:r>
    </w:p>
    <w:p w:rsidR="00D14F0C" w:rsidRPr="00835814" w:rsidRDefault="00D14F0C" w:rsidP="00AC34B5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 xml:space="preserve">Данные в таблицах формы </w:t>
      </w:r>
      <w:r w:rsidR="00A872C1">
        <w:rPr>
          <w:rFonts w:ascii="Times New Roman" w:hAnsi="Times New Roman" w:cs="Times New Roman"/>
          <w:sz w:val="28"/>
          <w:szCs w:val="28"/>
        </w:rPr>
        <w:t>№</w:t>
      </w:r>
      <w:r w:rsidRPr="00835814">
        <w:rPr>
          <w:rFonts w:ascii="Times New Roman" w:hAnsi="Times New Roman" w:cs="Times New Roman"/>
          <w:sz w:val="28"/>
          <w:szCs w:val="28"/>
        </w:rPr>
        <w:t>64 заполнять строго в единицах измерения, указанных в форме (включая таблицы 6100 и 8100).</w:t>
      </w:r>
    </w:p>
    <w:p w:rsidR="00D14F0C" w:rsidRDefault="00D14F0C" w:rsidP="00AC34B5">
      <w:pPr>
        <w:pStyle w:val="a3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 xml:space="preserve"> Объемы донорской крови или компонентов указывать в литрах с двумя знаками после запятой. </w:t>
      </w:r>
    </w:p>
    <w:p w:rsidR="002D4BA5" w:rsidRPr="00901636" w:rsidRDefault="002D4BA5" w:rsidP="00AC34B5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D4BA5" w:rsidRDefault="002D4BA5" w:rsidP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AC34B5" w:rsidRDefault="00AC34B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sectPr w:rsidR="00AC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09B"/>
    <w:multiLevelType w:val="hybridMultilevel"/>
    <w:tmpl w:val="51385786"/>
    <w:lvl w:ilvl="0" w:tplc="2384C9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5612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3849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687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C68A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3886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6EF2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CC8F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7E30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6B37CA"/>
    <w:multiLevelType w:val="hybridMultilevel"/>
    <w:tmpl w:val="E3749692"/>
    <w:lvl w:ilvl="0" w:tplc="F8044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110DC"/>
    <w:multiLevelType w:val="hybridMultilevel"/>
    <w:tmpl w:val="F5B4A4A0"/>
    <w:lvl w:ilvl="0" w:tplc="19D6AA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9C5A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846C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2CD9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7225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3C4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AA8F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E69A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6BE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F1E20F5"/>
    <w:multiLevelType w:val="hybridMultilevel"/>
    <w:tmpl w:val="6B7C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3E6C"/>
    <w:multiLevelType w:val="hybridMultilevel"/>
    <w:tmpl w:val="FAD6810E"/>
    <w:lvl w:ilvl="0" w:tplc="708C4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AD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1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9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88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E1B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0C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9B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D"/>
    <w:rsid w:val="000166E8"/>
    <w:rsid w:val="00070004"/>
    <w:rsid w:val="000800B8"/>
    <w:rsid w:val="00082B8D"/>
    <w:rsid w:val="00090275"/>
    <w:rsid w:val="000A68D4"/>
    <w:rsid w:val="000C5DD8"/>
    <w:rsid w:val="000C5F86"/>
    <w:rsid w:val="000D1D4E"/>
    <w:rsid w:val="000D43A1"/>
    <w:rsid w:val="000F667D"/>
    <w:rsid w:val="0014085C"/>
    <w:rsid w:val="00143598"/>
    <w:rsid w:val="0016508C"/>
    <w:rsid w:val="00165F3B"/>
    <w:rsid w:val="0017736A"/>
    <w:rsid w:val="00181987"/>
    <w:rsid w:val="001972B4"/>
    <w:rsid w:val="001A318C"/>
    <w:rsid w:val="001A5C66"/>
    <w:rsid w:val="001B0F07"/>
    <w:rsid w:val="001C116E"/>
    <w:rsid w:val="001C6FF5"/>
    <w:rsid w:val="001D6210"/>
    <w:rsid w:val="001E3A1F"/>
    <w:rsid w:val="001E5923"/>
    <w:rsid w:val="001F57A4"/>
    <w:rsid w:val="00204337"/>
    <w:rsid w:val="00223C82"/>
    <w:rsid w:val="002462C0"/>
    <w:rsid w:val="002645FB"/>
    <w:rsid w:val="002663FB"/>
    <w:rsid w:val="00292F82"/>
    <w:rsid w:val="002952BF"/>
    <w:rsid w:val="002A2B29"/>
    <w:rsid w:val="002A40B7"/>
    <w:rsid w:val="002A7B90"/>
    <w:rsid w:val="002C1E70"/>
    <w:rsid w:val="002C7E70"/>
    <w:rsid w:val="002D4BA5"/>
    <w:rsid w:val="003141AF"/>
    <w:rsid w:val="003147D8"/>
    <w:rsid w:val="003401B3"/>
    <w:rsid w:val="00364813"/>
    <w:rsid w:val="00367A28"/>
    <w:rsid w:val="00387CC0"/>
    <w:rsid w:val="0039665C"/>
    <w:rsid w:val="003B1640"/>
    <w:rsid w:val="003D0BF3"/>
    <w:rsid w:val="003D7964"/>
    <w:rsid w:val="003F085C"/>
    <w:rsid w:val="00424CE7"/>
    <w:rsid w:val="00463E07"/>
    <w:rsid w:val="0049777B"/>
    <w:rsid w:val="004B214B"/>
    <w:rsid w:val="004B5C63"/>
    <w:rsid w:val="004B7392"/>
    <w:rsid w:val="004C2862"/>
    <w:rsid w:val="00507D76"/>
    <w:rsid w:val="00514431"/>
    <w:rsid w:val="00532392"/>
    <w:rsid w:val="0058325E"/>
    <w:rsid w:val="005B5120"/>
    <w:rsid w:val="005B6A2A"/>
    <w:rsid w:val="005D2670"/>
    <w:rsid w:val="005E66D8"/>
    <w:rsid w:val="00604AFA"/>
    <w:rsid w:val="0061120B"/>
    <w:rsid w:val="00624C18"/>
    <w:rsid w:val="006535BD"/>
    <w:rsid w:val="00661192"/>
    <w:rsid w:val="00670A6D"/>
    <w:rsid w:val="00690876"/>
    <w:rsid w:val="006A2E08"/>
    <w:rsid w:val="006A6553"/>
    <w:rsid w:val="006A7307"/>
    <w:rsid w:val="006B2D11"/>
    <w:rsid w:val="006B415C"/>
    <w:rsid w:val="006F4DD1"/>
    <w:rsid w:val="007066DE"/>
    <w:rsid w:val="007276C6"/>
    <w:rsid w:val="00734E36"/>
    <w:rsid w:val="0073700A"/>
    <w:rsid w:val="0076161E"/>
    <w:rsid w:val="00771103"/>
    <w:rsid w:val="0078583D"/>
    <w:rsid w:val="007864DE"/>
    <w:rsid w:val="007D299C"/>
    <w:rsid w:val="007F4B59"/>
    <w:rsid w:val="007F7C17"/>
    <w:rsid w:val="00804D93"/>
    <w:rsid w:val="00817E20"/>
    <w:rsid w:val="008313F1"/>
    <w:rsid w:val="00835814"/>
    <w:rsid w:val="00836CA4"/>
    <w:rsid w:val="00840EF8"/>
    <w:rsid w:val="00857EAB"/>
    <w:rsid w:val="00862A41"/>
    <w:rsid w:val="00864624"/>
    <w:rsid w:val="00876DDC"/>
    <w:rsid w:val="00892D52"/>
    <w:rsid w:val="008B4F7E"/>
    <w:rsid w:val="008D072E"/>
    <w:rsid w:val="008F2B78"/>
    <w:rsid w:val="008F685C"/>
    <w:rsid w:val="00901636"/>
    <w:rsid w:val="00903821"/>
    <w:rsid w:val="009215D4"/>
    <w:rsid w:val="00927272"/>
    <w:rsid w:val="00951493"/>
    <w:rsid w:val="009951F2"/>
    <w:rsid w:val="00996544"/>
    <w:rsid w:val="009B03E8"/>
    <w:rsid w:val="00A076D7"/>
    <w:rsid w:val="00A21B03"/>
    <w:rsid w:val="00A33A40"/>
    <w:rsid w:val="00A37089"/>
    <w:rsid w:val="00A872C1"/>
    <w:rsid w:val="00A955D4"/>
    <w:rsid w:val="00AB4D63"/>
    <w:rsid w:val="00AC34B5"/>
    <w:rsid w:val="00AC427D"/>
    <w:rsid w:val="00B234E8"/>
    <w:rsid w:val="00B4148F"/>
    <w:rsid w:val="00B449E7"/>
    <w:rsid w:val="00B53737"/>
    <w:rsid w:val="00B66458"/>
    <w:rsid w:val="00B66751"/>
    <w:rsid w:val="00B72C9D"/>
    <w:rsid w:val="00B75BE9"/>
    <w:rsid w:val="00B91CE6"/>
    <w:rsid w:val="00B949E2"/>
    <w:rsid w:val="00BA3BE3"/>
    <w:rsid w:val="00BC17C3"/>
    <w:rsid w:val="00BD2C7D"/>
    <w:rsid w:val="00BE0643"/>
    <w:rsid w:val="00BF08FE"/>
    <w:rsid w:val="00C21679"/>
    <w:rsid w:val="00C34359"/>
    <w:rsid w:val="00C8611B"/>
    <w:rsid w:val="00C950B7"/>
    <w:rsid w:val="00CA52C0"/>
    <w:rsid w:val="00CC2537"/>
    <w:rsid w:val="00CD431C"/>
    <w:rsid w:val="00CE0A91"/>
    <w:rsid w:val="00D14F0C"/>
    <w:rsid w:val="00D407E2"/>
    <w:rsid w:val="00D4773E"/>
    <w:rsid w:val="00D47AAC"/>
    <w:rsid w:val="00D83767"/>
    <w:rsid w:val="00D868EE"/>
    <w:rsid w:val="00D93A96"/>
    <w:rsid w:val="00DB3FB4"/>
    <w:rsid w:val="00DD096D"/>
    <w:rsid w:val="00DE4018"/>
    <w:rsid w:val="00E028B7"/>
    <w:rsid w:val="00E02D6E"/>
    <w:rsid w:val="00E12963"/>
    <w:rsid w:val="00E3706C"/>
    <w:rsid w:val="00E42C9F"/>
    <w:rsid w:val="00E42EAB"/>
    <w:rsid w:val="00E43336"/>
    <w:rsid w:val="00E43DDD"/>
    <w:rsid w:val="00E46266"/>
    <w:rsid w:val="00E622BD"/>
    <w:rsid w:val="00E71F0E"/>
    <w:rsid w:val="00E72C1F"/>
    <w:rsid w:val="00EA71C2"/>
    <w:rsid w:val="00EE5B9B"/>
    <w:rsid w:val="00EF4B39"/>
    <w:rsid w:val="00F03BA1"/>
    <w:rsid w:val="00F051D4"/>
    <w:rsid w:val="00F3721A"/>
    <w:rsid w:val="00F4770D"/>
    <w:rsid w:val="00F5558E"/>
    <w:rsid w:val="00F62DEC"/>
    <w:rsid w:val="00F8774F"/>
    <w:rsid w:val="00FD3482"/>
    <w:rsid w:val="00FE6795"/>
    <w:rsid w:val="00FF125B"/>
    <w:rsid w:val="00FF33F0"/>
    <w:rsid w:val="00FF542E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D1"/>
    <w:pPr>
      <w:ind w:left="720"/>
      <w:contextualSpacing/>
    </w:pPr>
  </w:style>
  <w:style w:type="character" w:styleId="a4">
    <w:name w:val="Hyperlink"/>
    <w:rsid w:val="006F4DD1"/>
    <w:rPr>
      <w:rFonts w:cs="Times New Roman"/>
      <w:color w:val="0000FF"/>
      <w:u w:val="single"/>
    </w:rPr>
  </w:style>
  <w:style w:type="paragraph" w:customStyle="1" w:styleId="ConsPlusNormal">
    <w:name w:val="ConsPlusNormal"/>
    <w:rsid w:val="00EA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5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D1"/>
    <w:pPr>
      <w:ind w:left="720"/>
      <w:contextualSpacing/>
    </w:pPr>
  </w:style>
  <w:style w:type="character" w:styleId="a4">
    <w:name w:val="Hyperlink"/>
    <w:rsid w:val="006F4DD1"/>
    <w:rPr>
      <w:rFonts w:cs="Times New Roman"/>
      <w:color w:val="0000FF"/>
      <w:u w:val="single"/>
    </w:rPr>
  </w:style>
  <w:style w:type="paragraph" w:customStyle="1" w:styleId="ConsPlusNormal">
    <w:name w:val="ConsPlusNormal"/>
    <w:rsid w:val="00EA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5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E8AB9325CB8EF52589113AE52739FF81B1C9E863FB0B3BE193F0EEA457907D77CD4D4208CC57E6BE8FF630490A8E4C6908F469F8703AB5U7F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Одиноченко Юлия Анатольевна</dc:creator>
  <cp:lastModifiedBy>Екатерина А. Ватагина</cp:lastModifiedBy>
  <cp:revision>2</cp:revision>
  <cp:lastPrinted>2022-11-09T09:06:00Z</cp:lastPrinted>
  <dcterms:created xsi:type="dcterms:W3CDTF">2022-12-21T11:52:00Z</dcterms:created>
  <dcterms:modified xsi:type="dcterms:W3CDTF">2022-12-21T11:52:00Z</dcterms:modified>
</cp:coreProperties>
</file>