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9" w:rsidRPr="00E93307" w:rsidRDefault="005E03A9" w:rsidP="005E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b/>
          <w:bCs/>
          <w:sz w:val="24"/>
          <w:szCs w:val="24"/>
        </w:rPr>
        <w:t>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Наименование объекта критической информационной инфраструктуры.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1. Сведения об объекте критической информационной инфраструктуры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0"/>
      </w:tblGrid>
      <w:tr w:rsidR="005E03A9" w:rsidRPr="00E93307" w:rsidTr="00FC0E72">
        <w:trPr>
          <w:trHeight w:val="863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6840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ИС / АСУ ТП / ИТС. Может использоваться произвольное наименование, основные критерии: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оно должно быть уникальным в рамках Организации и однозначно идентифицировать систему;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данное название должно использоваться во всех документах, касающихся данной системы </w:t>
            </w:r>
          </w:p>
        </w:tc>
      </w:tr>
      <w:tr w:rsidR="005E03A9" w:rsidRPr="00E93307" w:rsidTr="00FC0E72">
        <w:trPr>
          <w:trHeight w:val="1116"/>
        </w:trPr>
        <w:tc>
          <w:tcPr>
            <w:tcW w:w="2802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Адреса размещения объекта</w:t>
            </w:r>
          </w:p>
        </w:tc>
        <w:tc>
          <w:tcPr>
            <w:tcW w:w="6840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КИИ является распределённым, указываются адреса подразделений (обособленных подразделений, филиалов, представительств) субъекта КИИ, в которых размещаются сегменты объекта КИИ (серверы, рабочие места, технологическое, производственное оборудование (исполнительные устройства).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Достаточная точность указания — уровень здания. В случае, если объект КИИ — ИТС, указывается место расположения сетевого оборудования (активного и пассивного) </w:t>
            </w:r>
          </w:p>
        </w:tc>
      </w:tr>
      <w:tr w:rsidR="005E03A9" w:rsidRPr="00E93307" w:rsidTr="00FC0E72">
        <w:trPr>
          <w:trHeight w:val="1242"/>
        </w:trPr>
        <w:tc>
          <w:tcPr>
            <w:tcW w:w="2802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Сфера (область) деятельности, в которой функционирует объект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 соответствии с пунктом 8 статьи 2 Федерального закона от 26 июля 2017 г. № 187–ФЗ «О безопасности КИИ Российской Федерации»: сфера здравоохранения, науки, транспорта, связи, энергетики, банковская сфера или сфера финансового рынка, топливно-энергетический комплекс, область атомной энергии, оборонной, ракетно-космической, горнодобывающей, металлургической и химической промышленности.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функционирует в нескольких сферах, указываются все соответствующие сферы </w:t>
            </w:r>
          </w:p>
        </w:tc>
      </w:tr>
      <w:tr w:rsidR="005E03A9" w:rsidRPr="00E93307" w:rsidTr="00FC0E72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задача / цель функционирования объекта,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работой гидроагрегата, ведение единого учета граждан, записывающихся на прием к врачу в медицинских учреждениях г. Москвы, управление и контроль работы нефтеперерабатывающей установки; единый центр управления технологическими процессами обогатительного завода и т. д. </w:t>
            </w:r>
          </w:p>
        </w:tc>
      </w:tr>
      <w:tr w:rsidR="005E03A9" w:rsidRPr="00E93307" w:rsidTr="00FC0E72">
        <w:trPr>
          <w:trHeight w:val="4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(информационная система, автоматизированная система управления, информационно-телекоммуникационная сеть)</w:t>
            </w:r>
          </w:p>
        </w:tc>
      </w:tr>
      <w:tr w:rsidR="005E03A9" w:rsidRPr="00E93307" w:rsidTr="00FC0E72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объекта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Выбирается тип архитектуры из указанных вариантов или приводится уточнение их вариаций: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одноранговая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сеть, клиент– серверная система, «тонкий клиент», сеть передачи данных, SCADA– система, распределенная система управления или иная архитектура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Сведения о субъекте критической информационной инфраструктуры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34"/>
      </w:tblGrid>
      <w:tr w:rsidR="005E03A9" w:rsidRPr="00E93307" w:rsidTr="00FC0E72">
        <w:trPr>
          <w:trHeight w:val="229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субъекта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КИИ — лица, которое владеет объектом КИИ </w:t>
            </w:r>
          </w:p>
        </w:tc>
      </w:tr>
      <w:tr w:rsidR="005E03A9" w:rsidRPr="00E93307" w:rsidTr="00FC0E72">
        <w:trPr>
          <w:trHeight w:val="356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субъекта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субъекта (если отличается) </w:t>
            </w:r>
          </w:p>
        </w:tc>
      </w:tr>
      <w:tr w:rsidR="005E03A9" w:rsidRPr="00E93307" w:rsidTr="00FC0E72">
        <w:trPr>
          <w:trHeight w:val="381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руководителя субъекта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руководителя </w:t>
            </w:r>
          </w:p>
        </w:tc>
      </w:tr>
      <w:tr w:rsidR="005E03A9" w:rsidRPr="00E93307" w:rsidTr="00FC0E72">
        <w:trPr>
          <w:trHeight w:val="1115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должностного лица, на которое возложены функции обеспечения безопасности значимых объектов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должностного лица, на которое возложены функции обеспечения безопасности значимых объектов.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такого должностного лица — наименование должности, фамилия, имя, отчество (при наличии) руководителя субъекта </w:t>
            </w:r>
          </w:p>
        </w:tc>
      </w:tr>
      <w:tr w:rsidR="005E03A9" w:rsidRPr="00E93307" w:rsidTr="00FC0E72">
        <w:trPr>
          <w:trHeight w:val="1369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ответственное за обеспечение безопасности значимых объектов, должность, фамилия, имя, отчество (при наличии) руководителя структурного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подразделения, телефон, адрес электронной почты (при наличии) или должность, фамилия, имя, отчество (при наличии) штатного специалиста, ответственного за обеспечение безопасности значимых объектов, телефон, адрес электронной почты (при наличии)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соответствующие данные: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Структурное подразделение, ответственное за обеспечение безопасности значимых объектов;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Должность, фамилия, имя, отчество (при наличии) руководителя структурного подразделения, телефон, адрес электронной почты (при наличии). Или, в случае отсутствия выделенного подразделения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должность, фамилия, имя, отчество (при наличии) штатного специалиста, ответственного за обеспечение безопасности значимых объектов, телефон, адрес электронной почты (при наличии) </w:t>
            </w:r>
          </w:p>
        </w:tc>
      </w:tr>
      <w:tr w:rsidR="005E03A9" w:rsidRPr="00E93307" w:rsidTr="00FC0E72">
        <w:trPr>
          <w:trHeight w:val="905"/>
        </w:trPr>
        <w:tc>
          <w:tcPr>
            <w:tcW w:w="2802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ИНН субъекта и КПП его обособленных подразделений </w:t>
            </w:r>
          </w:p>
        </w:tc>
        <w:tc>
          <w:tcPr>
            <w:tcW w:w="673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соответствующие данные: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ИНН субъекта и КПП его обособленных подразделений (филиалов, представительств), в которых размещаются сегменты распределенного объекта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Сведения о взаимодействии объекта критической информационной инфраструктуры и сетей электросвязи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36"/>
      </w:tblGrid>
      <w:tr w:rsidR="005E03A9" w:rsidRPr="00E93307" w:rsidTr="00FC0E72">
        <w:trPr>
          <w:trHeight w:val="698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сети электросвязи или сведения об отсутствии </w:t>
            </w: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объекта критической информационной инфраструктуры с сетями электросвязи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категория сети электросвязи (в соответствии с 126-ФЗ): сеть связи общего пользования, выделенная сеть связи, технологическая сеть связи, присоединенная к сети </w:t>
            </w: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общего пользования, сеть связи специального назначения или другая сеть связи для передачи информации при помощи электромагнитных систем.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КИИ не взаимодействует с сетями электросвязи, указываются сведения об отсутствии такого взаимодействия.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ЛВС (КСПД) Организации также должна указываться, если она не входит в состав объекта КИИ и с ней осуществляется какое-либо взаимодействие. </w:t>
            </w:r>
          </w:p>
        </w:tc>
      </w:tr>
      <w:tr w:rsidR="005E03A9" w:rsidRPr="00E93307" w:rsidTr="00FC0E72">
        <w:trPr>
          <w:trHeight w:val="1637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оператора связи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оператора связи и (или) провайдера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хостинга  Указывается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соответственного юридического лица (нескольких лиц, если сетей электросвязи несколько). В случае, если объект КИИ не взаимодействует с сетями электросвязи, указываются сведения об отсутствии такого взаимодействия. </w:t>
            </w:r>
          </w:p>
        </w:tc>
      </w:tr>
      <w:tr w:rsidR="005E03A9" w:rsidRPr="00E93307" w:rsidTr="00FC0E72">
        <w:trPr>
          <w:trHeight w:val="861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Цель взаимодействия с сетью электросвязи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цель взаимодействия с сетью электросвязи: передача (прием) информации, оказание услуг, управление, контроль за технологическим, производственным оборудованием (исполнительными устройствами), иная цель.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КИИ не взаимодействует с сетями электросвязи, указываются сведения об отсутствии такого взаимодействия. </w:t>
            </w:r>
          </w:p>
        </w:tc>
      </w:tr>
      <w:tr w:rsidR="005E03A9" w:rsidRPr="00E93307" w:rsidTr="00FC0E72">
        <w:trPr>
          <w:trHeight w:val="862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Способ взаимодействия с сетью электросвязи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соответствующая информация о взаимодействии с сетями электросвязи: тип доступа к сети электросвязи (проводной, беспроводный), используемых технологий доступа, протоколов взаимодействия.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 КИИ не взаимодействует с сетями электросвязи, указываются сведения об отсутствии такого взаимодействия.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Сведения о лице, эксплуатирующем объект критической информационной инфраструктуры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36"/>
      </w:tblGrid>
      <w:tr w:rsidR="005E03A9" w:rsidRPr="00E93307" w:rsidTr="00FC0E72">
        <w:trPr>
          <w:trHeight w:val="482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лица, эксплуатирующего объект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КИИ — лица, которое эксплуатирует объект КИИ (в случае, если отличается от владельца объекта)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эксплуатацию осуществляет субъект КИИ — указываются его данные </w:t>
            </w:r>
          </w:p>
        </w:tc>
      </w:tr>
      <w:tr w:rsidR="005E03A9" w:rsidRPr="00E93307" w:rsidTr="00FC0E72">
        <w:trPr>
          <w:trHeight w:val="861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лица, эксплуатирующего объект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лица, которое эксплуатирует объект КИИ (в случае, если отличается от владельца объекта).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субъекта (если отличается) лица, которое эксплуатирует объект КИИ (в случае, если отличается от владельца объекта).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эксплуатацию осуществляет субъект КИИ — указываются его данные </w:t>
            </w:r>
          </w:p>
        </w:tc>
      </w:tr>
      <w:tr w:rsidR="005E03A9" w:rsidRPr="00E93307" w:rsidTr="00FC0E72">
        <w:trPr>
          <w:trHeight w:val="609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Элемент (компонент) объекта, который эксплуатируется лицом 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соответствующие компоненты / сегменты/ зоны ответственности в случае, если эксплуатацией объекта занимается лицо, отличающееся от субъекта КИИ.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эксплуатацию осуществляет субъект КИИ — указывается «объект целиком эксплуатируется субъектом» </w:t>
            </w:r>
          </w:p>
        </w:tc>
      </w:tr>
      <w:tr w:rsidR="005E03A9" w:rsidRPr="00E93307" w:rsidTr="00FC0E72">
        <w:trPr>
          <w:trHeight w:val="609"/>
        </w:trPr>
        <w:tc>
          <w:tcPr>
            <w:tcW w:w="2802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ИНН лица, эксплуатирующего </w:t>
            </w: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и КПП его обособленных подразделений (филиалов, представительств), в которых размещаются сегменты распределенного объекта</w:t>
            </w:r>
          </w:p>
        </w:tc>
        <w:tc>
          <w:tcPr>
            <w:tcW w:w="673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соответствующие данные: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ИНН лица, эксплуатирующего объект и КПП его обособленных подразделений(филиалов, представительств), в которых размещаются сегменты распределенного объекта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Сведения о программных и программно-аппаратных средствах, используемых на объекте критической информационной инфраструктуры</w:t>
      </w:r>
    </w:p>
    <w:p w:rsidR="005E03A9" w:rsidRPr="00E93307" w:rsidRDefault="005E03A9" w:rsidP="005E0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38"/>
      </w:tblGrid>
      <w:tr w:rsidR="005E03A9" w:rsidRPr="00E93307" w:rsidTr="00FC0E72">
        <w:trPr>
          <w:trHeight w:val="1407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программно-аппаратных средств (пользовательских компьютеров, серверов, телекоммуникационного оборудования, средств беспроводного доступа, технологического, производственного оборудования (исполнительных устройств), иных средств) и их количество </w:t>
            </w:r>
          </w:p>
        </w:tc>
        <w:tc>
          <w:tcPr>
            <w:tcW w:w="6738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наименования программно-аппаратных средств и их количество: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пользовательские компьютеры — х шт.,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серверы — х шт.,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телекоммуникационное оборудование — х шт.,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средства беспроводного доступа — х шт.,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технологическое, производственное оборудование (исполнительные устройства) — х шт.,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иные программно-аппаратные средства.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A9" w:rsidRPr="00E93307" w:rsidTr="00FC0E72">
        <w:trPr>
          <w:trHeight w:val="992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общесистемного программного обеспечения (клиентских, серверных операционных систем, средств виртуализации (при наличии) </w:t>
            </w:r>
          </w:p>
        </w:tc>
        <w:tc>
          <w:tcPr>
            <w:tcW w:w="6738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наименования клиентских, серверных операционных систем, средств виртуализации (при наличии) </w:t>
            </w:r>
          </w:p>
        </w:tc>
      </w:tr>
      <w:tr w:rsidR="005E03A9" w:rsidRPr="00E93307" w:rsidTr="00FC0E72">
        <w:trPr>
          <w:trHeight w:val="992"/>
        </w:trPr>
        <w:tc>
          <w:tcPr>
            <w:tcW w:w="2802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прикладных программ, обеспечивающих выполнение функций объекта по его назначению (за исключением прикладных программ,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входящих в состав дистрибутивов операционных систем) </w:t>
            </w:r>
          </w:p>
        </w:tc>
        <w:tc>
          <w:tcPr>
            <w:tcW w:w="6738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наименования прикладных программ: наименование ERP, SCADA и иных прикладных продуктов, обеспечивающих выполнение функций объекта по его назначению </w:t>
            </w:r>
          </w:p>
        </w:tc>
      </w:tr>
      <w:tr w:rsidR="005E03A9" w:rsidRPr="00E93307" w:rsidTr="00FC0E72">
        <w:trPr>
          <w:trHeight w:val="9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Применяемые средства защиты информации (в том числе встроенные в общесистемное, прикладное программно</w:t>
            </w:r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 обеспечение)(наименования средств защиты информации, реквизиты сертификатов соответствия, иных документов, содержащих результаты оценки соответствия средств защиты информации или сведения о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непроведении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такой оценки или сведения об отсутствии средств защиты информации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сведения о соответствующих средствах защиты информации, используемых для обеспечения ИБ рассматриваемого объекта КИИ (наименования средств защиты информации, реквизиты сертификатов соответствия, если есть).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рекомендуется указывать средства защиты, используемые на периметре КСПД (ЛВС) Организации, которые используются для защиты инфраструктуры в целом от внешних нарушителей — с соответствующим уточнением, что для защиты от внешних нарушителей.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Для средств защиты информации, встроенных в программное обеспечение, указываются функции безопасности этого программного обеспечения (идентификация, аутентификация, управление доступом, регистрация событий безопасности, иные функции). Для упрощения последующих работ лучше сразу уточнять какую из мер Приложения к Требованиям по обеспечению безопасности значимых объектов КИИ РФ, утвержденным приказом ФСТЭК России от 25 декабря 2017 г. N 239 реализуют указываемые средства защиты,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АВЗ.1, АВЗ.2 — средство антивирусной защиты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Endpoint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10, сертификат ИТ.САВЗ.Б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2.ПЗ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№ 3025;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СОВ.1, СОВ.2 —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версии R77.10, сертификат ИТ.СОВ.С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4.ПЗ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№ 3634;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ОДТ.4 — резервное копирование защищаемой информации на отказоустойчивой СХД HP C8R15A.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неприменения средств защиты информации приводятся сведения об отсутствии средств защиты информации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Сведения об угрозах безопасности информации и категориях нарушителей в отношении объекта критической информационной инфраструктуры</w:t>
      </w: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70"/>
      </w:tblGrid>
      <w:tr w:rsidR="005E03A9" w:rsidRPr="00E93307" w:rsidTr="00FC0E72">
        <w:trPr>
          <w:trHeight w:val="698"/>
        </w:trPr>
        <w:tc>
          <w:tcPr>
            <w:tcW w:w="237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нарушителя, краткая характеристика основных возможностей нарушителя по реализации угроз безопасности информации в части его оснащенности, знаний, мотивации или краткое обоснование невозможности нарушителем реализовать угрозы безопасности информации </w:t>
            </w:r>
          </w:p>
        </w:tc>
        <w:tc>
          <w:tcPr>
            <w:tcW w:w="7270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сведения о потенциальных нарушителях,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нарушитель, обладающий средним потенциалом и высокой мотивацией, высокой квалификацией в области обнаружения и эксплуатации уязвимостей ИС.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Данный тип нарушителя обладает следующими возможностями: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возможность самостоятельно осуществлять создание способов атак, подготовку и проведение атак за пределами КЗ;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возможность сбора дополнительной информации о структурно-функциональных характеристиках и мерах защиты информации, применяемых в ИС;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возможность получить информацию об уязвимостях компонентов ИС, а также методах и средствах реализации угроз: </w:t>
            </w:r>
          </w:p>
          <w:p w:rsidR="005E03A9" w:rsidRPr="00E93307" w:rsidRDefault="005E03A9" w:rsidP="005E03A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опубликованную в общедоступных источниках; </w:t>
            </w:r>
          </w:p>
          <w:p w:rsidR="005E03A9" w:rsidRPr="00E93307" w:rsidRDefault="005E03A9" w:rsidP="005E03A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путем проведения, с использованием имеющихся в свободном доступе программных средств, анализа кода прикладного ПО и отдельных программных компонентов общесистемного ПО.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Данный тип нарушителя может использовать следующие каналы реализации угроз: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информационные сервисы и ресурсы ИС или смежных систем, имеющих подключение к общедоступным каналам передачи данных (Интернет);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lastRenderedPageBreak/>
              <w:t xml:space="preserve">‒ беспроводные каналы передачи данных;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каналы связи, выходящие за пределы контролируемой зоны;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отчуждаемые носители информации и мобильные устройства, выносимые за пределы контролируемой зоны;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направленные воздействий на работников Организации (социальная инженерия).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Внутренний нарушитель, обладающий низким потенциалом, низкой мотивацией и квалификацией продвинутого пользователя с ограниченными знаниями в области обнаружения и эксплуатации уязвимостей ИС.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Данный тип нарушителя обладает следующими возможностями: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самостоятельно осуществлять создание способов атак, подготовку и проведение атак за пределами КЗ;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сбора дополнительной информации о структурно-функциональных характеристиках и мерах защиты информации, применяемых в ИС;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получать информацию о пользователях и характеристиках ИС;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осуществлять попытки физического или логического доступа к ИС в рамках реализованных мер защиты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получать информацию об уязвимостях компонентов ИС, а также методах и средствах реализации угроз: </w:t>
            </w:r>
          </w:p>
          <w:p w:rsidR="005E03A9" w:rsidRPr="00E93307" w:rsidRDefault="005E03A9" w:rsidP="005E03A9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E93307">
              <w:rPr>
                <w:color w:val="auto"/>
              </w:rPr>
              <w:t xml:space="preserve">опубликованную в общедоступных источниках; </w:t>
            </w:r>
          </w:p>
          <w:p w:rsidR="005E03A9" w:rsidRPr="00E93307" w:rsidRDefault="005E03A9" w:rsidP="005E03A9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E93307">
              <w:rPr>
                <w:color w:val="auto"/>
              </w:rPr>
              <w:t xml:space="preserve">путем проведения, с использованием имеющихся в свободном доступе программных средств, анализа кода прикладного ПО и отдельных программных компонентов общесистемного ПО.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Данный тип нарушителя может использовать следующие каналы реализации угроз: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информационные сервисы и ресурсы ИС или смежных систем, имеющих подключение к общедоступным каналам передачи данных (Интернет);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беспроводные каналы передачи данных;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каналы связи, по которым осуществляется передача информации ограниченного доступа;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каналы связи, по которым осуществляется передача информации ограниченного доступа;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отчуждаемые носители информации и мобильные устройства; </w:t>
            </w:r>
          </w:p>
          <w:p w:rsidR="005E03A9" w:rsidRPr="00E93307" w:rsidRDefault="005E03A9" w:rsidP="00FC0E72">
            <w:pPr>
              <w:pStyle w:val="Default"/>
              <w:rPr>
                <w:color w:val="auto"/>
              </w:rPr>
            </w:pPr>
            <w:r w:rsidRPr="00E93307">
              <w:rPr>
                <w:color w:val="auto"/>
              </w:rPr>
              <w:t xml:space="preserve">‒ направленные воздействий на работников Организации (социальная инженерия) </w:t>
            </w:r>
          </w:p>
        </w:tc>
      </w:tr>
      <w:tr w:rsidR="005E03A9" w:rsidRPr="00E93307" w:rsidTr="00FC0E72">
        <w:trPr>
          <w:trHeight w:val="1119"/>
        </w:trPr>
        <w:tc>
          <w:tcPr>
            <w:tcW w:w="237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угрозы безопасности информации или обоснование их неактуальности </w:t>
            </w:r>
          </w:p>
        </w:tc>
        <w:tc>
          <w:tcPr>
            <w:tcW w:w="7270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основные угрозы безопасности информации. В случае отсутствия актуальных угроз безопасности информации приводится обоснование их неактуальности (допускается в случае отсутствия потенциальных нарушителей и каналов реализации угроз)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Возможные последствия в случае возникновения компьютерных инцидентов</w:t>
      </w:r>
    </w:p>
    <w:p w:rsidR="005E03A9" w:rsidRPr="00E93307" w:rsidRDefault="005E03A9" w:rsidP="005E0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64"/>
      </w:tblGrid>
      <w:tr w:rsidR="005E03A9" w:rsidRPr="00E93307" w:rsidTr="00FC0E72">
        <w:trPr>
          <w:trHeight w:val="1241"/>
        </w:trPr>
        <w:tc>
          <w:tcPr>
            <w:tcW w:w="237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Типы компьютерных инцидентов, которые могут произойти в результате реализации угроз безопасности информации, в том числе вследствие целенаправленных компьютерных атак 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типы инцидентов из предложенных или дополняются/уточняются собственными: отказ в обслуживании, несанкционированный доступ, утечка данных (нарушение конфиденциальности), модификация (подмена) данных, нарушение функционирования технических средств, несанкционированное использование вычислительных ресурсов объекта.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актуальных угроз безопасности информации указывается невозможность наступления компьютерных инцидентов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Категория значимости, которая присвоена объекту критической информационной инфраструктуры</w:t>
      </w:r>
    </w:p>
    <w:p w:rsidR="005E03A9" w:rsidRPr="00E93307" w:rsidRDefault="005E03A9" w:rsidP="005E0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64"/>
      </w:tblGrid>
      <w:tr w:rsidR="005E03A9" w:rsidRPr="00E93307" w:rsidTr="00FC0E72">
        <w:trPr>
          <w:trHeight w:val="1241"/>
        </w:trPr>
        <w:tc>
          <w:tcPr>
            <w:tcW w:w="2376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значимости, которая присвоена объекту либо информация о </w:t>
            </w:r>
            <w:proofErr w:type="spell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неприсвоении</w:t>
            </w:r>
            <w:proofErr w:type="spell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 объекту ни одной из таких категорий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Устанавливаются 3 категории значимости. Самая высокая категория - первая, самая низкая - третья. Если нет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категории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 пишется без категории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A9" w:rsidRPr="00E93307" w:rsidTr="00FC0E72">
        <w:trPr>
          <w:trHeight w:val="131"/>
        </w:trPr>
        <w:tc>
          <w:tcPr>
            <w:tcW w:w="2376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Полученные значения по каждому из рассчитываемых показателей критериев значимости или информация о неприменимости показателя к объекту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273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Перечень</w:t>
            </w:r>
            <w:r w:rsidRPr="00E933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273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показателей критериев значимости объектов критической информационной инфраструктуры Российской Федерации и их значения</w:t>
            </w:r>
            <w:r w:rsidRPr="00E933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берутся из 127- ПП</w:t>
            </w:r>
          </w:p>
          <w:p w:rsidR="005E03A9" w:rsidRPr="00E93307" w:rsidRDefault="005E03A9" w:rsidP="00FC0E72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- Социальная значимость Причинение ущерба жизни и здоровью людей (человек)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- Политическая значимость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Экономическая значимость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значимость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Значимость для обеспечения обороны страны, безопасности государства и правопорядка</w:t>
            </w:r>
          </w:p>
        </w:tc>
      </w:tr>
      <w:tr w:rsidR="005E03A9" w:rsidRPr="00E93307" w:rsidTr="00FC0E72">
        <w:trPr>
          <w:trHeight w:val="1863"/>
        </w:trPr>
        <w:tc>
          <w:tcPr>
            <w:tcW w:w="2376" w:type="dxa"/>
          </w:tcPr>
          <w:p w:rsidR="005E03A9" w:rsidRPr="00E93307" w:rsidRDefault="005E03A9" w:rsidP="00FC0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Обоснование полученных значений по каждому из показателей критериев значимости  или обоснование неприменимости показателя к объекту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Обоснование  </w:t>
            </w: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полученных значений по каждому из показателей критериев значимости  или обоснование неприменимости показателя к объекту</w:t>
            </w:r>
            <w:r w:rsidRPr="00E9330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я из 127- ПП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307">
        <w:rPr>
          <w:rFonts w:ascii="Times New Roman" w:hAnsi="Times New Roman" w:cs="Times New Roman"/>
          <w:sz w:val="24"/>
          <w:szCs w:val="24"/>
        </w:rPr>
        <w:t>Организационные и технические меры, применяемые для обеспечения безопасности объекта критической информационной инфраструктуры</w:t>
      </w:r>
    </w:p>
    <w:p w:rsidR="005E03A9" w:rsidRPr="00E93307" w:rsidRDefault="005E03A9" w:rsidP="005E0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164"/>
      </w:tblGrid>
      <w:tr w:rsidR="005E03A9" w:rsidRPr="00E93307" w:rsidTr="00FC0E72">
        <w:trPr>
          <w:trHeight w:val="1242"/>
        </w:trPr>
        <w:tc>
          <w:tcPr>
            <w:tcW w:w="237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Организационные меры по обеспечению безопасности объекта 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перечень необходимых организационных мер, соответствующих присвоенной объекту КИИ категории значимости, из Приложения к Требованиям по обеспечению безопасности значимых объектов КИИ РФ, утвержденным приказом ФСТЭК России от 25 декабря 2017 г. N 239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объекту КИИ не присвоена категория значимости, делается соответствующее указание «Объект КИИ не является значимым — обязательных мер не установлено» </w:t>
            </w:r>
          </w:p>
        </w:tc>
      </w:tr>
      <w:tr w:rsidR="005E03A9" w:rsidRPr="00E93307" w:rsidTr="00FC0E72">
        <w:trPr>
          <w:trHeight w:val="1691"/>
        </w:trPr>
        <w:tc>
          <w:tcPr>
            <w:tcW w:w="2376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меры по обеспечению безопасности объекта </w:t>
            </w:r>
          </w:p>
        </w:tc>
        <w:tc>
          <w:tcPr>
            <w:tcW w:w="7164" w:type="dxa"/>
          </w:tcPr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соответствующий перечень технических мер, соответствующих присвоенной объекту КИИ категории значимости, из Приложения к Требованиям по обеспечению безопасности значимых объектов КИИ РФ, утвержденным приказом ФСТЭК России от 25 декабря 2017 г. N 239, </w:t>
            </w:r>
            <w:proofErr w:type="gramStart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ИАФ.0 Разработка политики идентификации и аутентификации;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ИАФ.1 Идентификация и аутентификация пользователей и инициируемых ими процессов;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ИАФ.2 Идентификация и аутентификация устройств;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‒ и т. д. </w:t>
            </w:r>
          </w:p>
          <w:p w:rsidR="005E03A9" w:rsidRPr="00E93307" w:rsidRDefault="005E03A9" w:rsidP="00FC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3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объекту КИИ не присвоена категория значимости, делается соответствующее указание «Объект КИИ не является значимым — обязательных мер не установлено» </w:t>
            </w:r>
          </w:p>
        </w:tc>
      </w:tr>
    </w:tbl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A9" w:rsidRPr="00E93307" w:rsidRDefault="005E03A9" w:rsidP="005E0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12C" w:rsidRDefault="0054512C">
      <w:bookmarkStart w:id="0" w:name="_GoBack"/>
      <w:bookmarkEnd w:id="0"/>
    </w:p>
    <w:sectPr w:rsidR="0054512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C" w:rsidRDefault="005E03A9">
    <w:pPr>
      <w:tabs>
        <w:tab w:val="right" w:pos="9642"/>
      </w:tabs>
      <w:spacing w:after="0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0C6B05" wp14:editId="197243C2">
              <wp:simplePos x="0" y="0"/>
              <wp:positionH relativeFrom="page">
                <wp:posOffset>1012241</wp:posOffset>
              </wp:positionH>
              <wp:positionV relativeFrom="page">
                <wp:posOffset>10146488</wp:posOffset>
              </wp:positionV>
              <wp:extent cx="6258764" cy="18286"/>
              <wp:effectExtent l="0" t="0" r="0" b="0"/>
              <wp:wrapSquare wrapText="bothSides"/>
              <wp:docPr id="149377" name="Group 1493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8764" cy="18286"/>
                        <a:chOff x="0" y="0"/>
                        <a:chExt cx="6258764" cy="18286"/>
                      </a:xfrm>
                    </wpg:grpSpPr>
                    <wps:wsp>
                      <wps:cNvPr id="154278" name="Shape 154278"/>
                      <wps:cNvSpPr/>
                      <wps:spPr>
                        <a:xfrm>
                          <a:off x="0" y="0"/>
                          <a:ext cx="469938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381" h="18286">
                              <a:moveTo>
                                <a:pt x="0" y="0"/>
                              </a:moveTo>
                              <a:lnTo>
                                <a:pt x="4699381" y="0"/>
                              </a:lnTo>
                              <a:lnTo>
                                <a:pt x="469938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279" name="Shape 154279"/>
                      <wps:cNvSpPr/>
                      <wps:spPr>
                        <a:xfrm>
                          <a:off x="4699457" y="0"/>
                          <a:ext cx="1828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280" name="Shape 154280"/>
                      <wps:cNvSpPr/>
                      <wps:spPr>
                        <a:xfrm>
                          <a:off x="4717745" y="0"/>
                          <a:ext cx="1541018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1018" h="18286">
                              <a:moveTo>
                                <a:pt x="0" y="0"/>
                              </a:moveTo>
                              <a:lnTo>
                                <a:pt x="1541018" y="0"/>
                              </a:lnTo>
                              <a:lnTo>
                                <a:pt x="1541018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A88A7F" id="Group 149377" o:spid="_x0000_s1026" style="position:absolute;margin-left:79.7pt;margin-top:798.95pt;width:492.8pt;height:1.45pt;z-index:251660288;mso-position-horizontal-relative:page;mso-position-vertical-relative:page" coordsize="6258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">
              <v:shape id="Shape 154278" o:spid="_x0000_s1027" style="position:absolute;width:46993;height:182;visibility:visible;mso-wrap-style:square;v-text-anchor:top" coordsize="4699381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" path="m,l4699381,r,18286l,18286,,e" fillcolor="#2e74b5" stroked="f" strokeweight="0">
                <v:stroke miterlimit="83231f" joinstyle="miter"/>
                <v:path arrowok="t" textboxrect="0,0,4699381,18286"/>
              </v:shape>
              <v:shape id="Shape 154279" o:spid="_x0000_s1028" style="position:absolute;left:46994;width:183;height:182;visibility:visible;mso-wrap-style:square;v-text-anchor:top" coordsize="1828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" path="m,l18288,r,18286l,18286,,e" fillcolor="#2e74b5" stroked="f" strokeweight="0">
                <v:stroke miterlimit="83231f" joinstyle="miter"/>
                <v:path arrowok="t" textboxrect="0,0,18288,18286"/>
              </v:shape>
              <v:shape id="Shape 154280" o:spid="_x0000_s1029" style="position:absolute;left:47177;width:15410;height:182;visibility:visible;mso-wrap-style:square;v-text-anchor:top" coordsize="1541018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" path="m,l1541018,r,18286l,18286,,e" fillcolor="#2e74b5" stroked="f" strokeweight="0">
                <v:stroke miterlimit="83231f" joinstyle="miter"/>
                <v:path arrowok="t" textboxrect="0,0,1541018,18286"/>
              </v:shape>
              <w10:wrap type="square" anchorx="page" anchory="page"/>
            </v:group>
          </w:pict>
        </mc:Fallback>
      </mc:AlternateContent>
    </w:r>
    <w:r>
      <w:rPr>
        <w:color w:val="1F4E79"/>
      </w:rPr>
      <w:t>ООО «СТЭП ЛОДЖИК»</w:t>
    </w:r>
    <w:r>
      <w:rPr>
        <w:rFonts w:ascii="Times New Roman" w:eastAsia="Times New Roman" w:hAnsi="Times New Roman" w:cs="Times New Roman"/>
        <w:color w:val="1F4E79"/>
      </w:rPr>
      <w:t xml:space="preserve"> </w:t>
    </w:r>
    <w:r>
      <w:rPr>
        <w:rFonts w:ascii="Times New Roman" w:eastAsia="Times New Roman" w:hAnsi="Times New Roman" w:cs="Times New Roman"/>
        <w:color w:val="1F4E79"/>
      </w:rPr>
      <w:tab/>
    </w:r>
    <w:r>
      <w:rPr>
        <w:color w:val="1F4E79"/>
      </w:rPr>
      <w:t xml:space="preserve">Стр. </w:t>
    </w:r>
    <w:r>
      <w:rPr>
        <w:color w:val="1F4E79"/>
      </w:rPr>
      <w:fldChar w:fldCharType="begin"/>
    </w:r>
    <w:r>
      <w:rPr>
        <w:color w:val="1F4E79"/>
      </w:rPr>
      <w:instrText xml:space="preserve"> PAGE   \* MERGEFORMAT </w:instrText>
    </w:r>
    <w:r>
      <w:rPr>
        <w:color w:val="1F4E79"/>
      </w:rPr>
      <w:fldChar w:fldCharType="separate"/>
    </w:r>
    <w:r>
      <w:rPr>
        <w:noProof/>
        <w:color w:val="1F4E79"/>
      </w:rPr>
      <w:t>86</w:t>
    </w:r>
    <w:r>
      <w:rPr>
        <w:color w:val="1F4E79"/>
      </w:rPr>
      <w:fldChar w:fldCharType="end"/>
    </w:r>
    <w:r>
      <w:rPr>
        <w:color w:val="1F4E79"/>
      </w:rPr>
      <w:t xml:space="preserve"> из </w:t>
    </w:r>
    <w:r>
      <w:rPr>
        <w:color w:val="1F4E79"/>
      </w:rPr>
      <w:fldChar w:fldCharType="begin"/>
    </w:r>
    <w:r>
      <w:rPr>
        <w:color w:val="1F4E79"/>
      </w:rPr>
      <w:instrText xml:space="preserve"> NUMPAGES   \* MERGEFORMAT </w:instrText>
    </w:r>
    <w:r>
      <w:rPr>
        <w:color w:val="1F4E79"/>
      </w:rPr>
      <w:fldChar w:fldCharType="separate"/>
    </w:r>
    <w:r>
      <w:rPr>
        <w:noProof/>
        <w:color w:val="1F4E79"/>
      </w:rPr>
      <w:t>74</w:t>
    </w:r>
    <w:r>
      <w:rPr>
        <w:color w:val="1F4E79"/>
      </w:rPr>
      <w:fldChar w:fldCharType="end"/>
    </w:r>
    <w:r>
      <w:rPr>
        <w:rFonts w:ascii="Times New Roman" w:eastAsia="Times New Roman" w:hAnsi="Times New Roman" w:cs="Times New Roman"/>
        <w:color w:val="1F4E79"/>
        <w:sz w:val="20"/>
      </w:rPr>
      <w:t xml:space="preserve"> </w:t>
    </w:r>
  </w:p>
  <w:p w:rsidR="004868BC" w:rsidRDefault="005E03A9">
    <w:pPr>
      <w:spacing w:after="0"/>
    </w:pPr>
    <w:r>
      <w:rPr>
        <w:color w:val="2E74B5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563495"/>
      <w:docPartObj>
        <w:docPartGallery w:val="Page Numbers (Bottom of Page)"/>
        <w:docPartUnique/>
      </w:docPartObj>
    </w:sdtPr>
    <w:sdtEndPr/>
    <w:sdtContent>
      <w:p w:rsidR="004868BC" w:rsidRDefault="005E03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868BC" w:rsidRDefault="005E03A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C" w:rsidRPr="00B60184" w:rsidRDefault="005E03A9" w:rsidP="00276666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C" w:rsidRDefault="005E03A9">
    <w:pPr>
      <w:tabs>
        <w:tab w:val="right" w:pos="9642"/>
      </w:tabs>
      <w:spacing w:after="182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EA202" wp14:editId="5D89C9B7">
              <wp:simplePos x="0" y="0"/>
              <wp:positionH relativeFrom="page">
                <wp:posOffset>1003097</wp:posOffset>
              </wp:positionH>
              <wp:positionV relativeFrom="page">
                <wp:posOffset>783336</wp:posOffset>
              </wp:positionV>
              <wp:extent cx="6267958" cy="18288"/>
              <wp:effectExtent l="0" t="0" r="0" b="0"/>
              <wp:wrapSquare wrapText="bothSides"/>
              <wp:docPr id="149356" name="Group 149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958" cy="18288"/>
                        <a:chOff x="0" y="0"/>
                        <a:chExt cx="6267958" cy="18288"/>
                      </a:xfrm>
                    </wpg:grpSpPr>
                    <wps:wsp>
                      <wps:cNvPr id="154106" name="Shape 154106"/>
                      <wps:cNvSpPr/>
                      <wps:spPr>
                        <a:xfrm>
                          <a:off x="0" y="0"/>
                          <a:ext cx="524040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0401" h="18288">
                              <a:moveTo>
                                <a:pt x="0" y="0"/>
                              </a:moveTo>
                              <a:lnTo>
                                <a:pt x="5240401" y="0"/>
                              </a:lnTo>
                              <a:lnTo>
                                <a:pt x="524040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107" name="Shape 154107"/>
                      <wps:cNvSpPr/>
                      <wps:spPr>
                        <a:xfrm>
                          <a:off x="5231333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108" name="Shape 154108"/>
                      <wps:cNvSpPr/>
                      <wps:spPr>
                        <a:xfrm>
                          <a:off x="5249621" y="0"/>
                          <a:ext cx="1018337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337" h="18288">
                              <a:moveTo>
                                <a:pt x="0" y="0"/>
                              </a:moveTo>
                              <a:lnTo>
                                <a:pt x="1018337" y="0"/>
                              </a:lnTo>
                              <a:lnTo>
                                <a:pt x="1018337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4B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CEE563" id="Group 149356" o:spid="_x0000_s1026" style="position:absolute;margin-left:79pt;margin-top:61.7pt;width:493.55pt;height:1.45pt;z-index:251659264;mso-position-horizontal-relative:page;mso-position-vertical-relative:page" coordsize="626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">
              <v:shape id="Shape 154106" o:spid="_x0000_s1027" style="position:absolute;width:52404;height:182;visibility:visible;mso-wrap-style:square;v-text-anchor:top" coordsize="524040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" path="m,l5240401,r,18288l,18288,,e" fillcolor="#2e74b5" stroked="f" strokeweight="0">
                <v:stroke miterlimit="83231f" joinstyle="miter"/>
                <v:path arrowok="t" textboxrect="0,0,5240401,18288"/>
              </v:shape>
              <v:shape id="Shape 154107" o:spid="_x0000_s1028" style="position:absolute;left:5231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" path="m,l18288,r,18288l,18288,,e" fillcolor="#2e74b5" stroked="f" strokeweight="0">
                <v:stroke miterlimit="83231f" joinstyle="miter"/>
                <v:path arrowok="t" textboxrect="0,0,18288,18288"/>
              </v:shape>
              <v:shape id="Shape 154108" o:spid="_x0000_s1029" style="position:absolute;left:52496;width:10183;height:182;visibility:visible;mso-wrap-style:square;v-text-anchor:top" coordsize="101833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" path="m,l1018337,r,18288l,18288,,e" fillcolor="#2e74b5" stroked="f" strokeweight="0">
                <v:stroke miterlimit="83231f" joinstyle="miter"/>
                <v:path arrowok="t" textboxrect="0,0,1018337,18288"/>
              </v:shape>
              <w10:wrap type="square" anchorx="page" anchory="page"/>
            </v:group>
          </w:pict>
        </mc:Fallback>
      </mc:AlternateContent>
    </w:r>
    <w:r>
      <w:rPr>
        <w:color w:val="1F4E79"/>
      </w:rPr>
      <w:t>Методические рекомендации по категорированию объектов КИИ</w:t>
    </w:r>
    <w:r>
      <w:rPr>
        <w:rFonts w:ascii="Times New Roman" w:eastAsia="Times New Roman" w:hAnsi="Times New Roman" w:cs="Times New Roman"/>
        <w:color w:val="1F4E79"/>
      </w:rPr>
      <w:t xml:space="preserve"> </w:t>
    </w:r>
    <w:r>
      <w:rPr>
        <w:rFonts w:ascii="Times New Roman" w:eastAsia="Times New Roman" w:hAnsi="Times New Roman" w:cs="Times New Roman"/>
        <w:color w:val="1F4E79"/>
      </w:rPr>
      <w:tab/>
    </w:r>
    <w:r>
      <w:rPr>
        <w:color w:val="1F4E79"/>
        <w:vertAlign w:val="superscript"/>
      </w:rPr>
      <w:t>Редакция:</w:t>
    </w:r>
    <w:r>
      <w:rPr>
        <w:color w:val="1F4E79"/>
        <w:vertAlign w:val="subscript"/>
      </w:rPr>
      <w:t>1.0/2018</w:t>
    </w:r>
    <w:r>
      <w:rPr>
        <w:color w:val="1F4E79"/>
        <w:vertAlign w:val="superscript"/>
      </w:rPr>
      <w:t xml:space="preserve"> </w:t>
    </w:r>
    <w:r>
      <w:rPr>
        <w:color w:val="1F4E79"/>
        <w:sz w:val="31"/>
        <w:vertAlign w:val="subscript"/>
      </w:rPr>
      <w:t xml:space="preserve"> </w:t>
    </w:r>
  </w:p>
  <w:p w:rsidR="004868BC" w:rsidRDefault="005E03A9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C" w:rsidRPr="001F053D" w:rsidRDefault="005E03A9" w:rsidP="002766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BC" w:rsidRDefault="005E0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D0F"/>
    <w:multiLevelType w:val="hybridMultilevel"/>
    <w:tmpl w:val="1A9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2178"/>
    <w:multiLevelType w:val="hybridMultilevel"/>
    <w:tmpl w:val="53A4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73DF"/>
    <w:multiLevelType w:val="hybridMultilevel"/>
    <w:tmpl w:val="8C32C910"/>
    <w:lvl w:ilvl="0" w:tplc="1BE438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6"/>
    <w:rsid w:val="0054512C"/>
    <w:rsid w:val="005E03A9"/>
    <w:rsid w:val="00D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53DE5-6B21-457D-9266-1F777A5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03A9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03A9"/>
  </w:style>
  <w:style w:type="paragraph" w:styleId="a6">
    <w:name w:val="header"/>
    <w:basedOn w:val="a"/>
    <w:link w:val="a7"/>
    <w:uiPriority w:val="99"/>
    <w:unhideWhenUsed/>
    <w:rsid w:val="005E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Печикин</dc:creator>
  <cp:keywords/>
  <dc:description/>
  <cp:lastModifiedBy>Евгений Печикин</cp:lastModifiedBy>
  <cp:revision>2</cp:revision>
  <dcterms:created xsi:type="dcterms:W3CDTF">2020-07-28T06:25:00Z</dcterms:created>
  <dcterms:modified xsi:type="dcterms:W3CDTF">2020-07-28T06:26:00Z</dcterms:modified>
</cp:coreProperties>
</file>