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3" w:rsidRPr="00C116D3" w:rsidRDefault="00C116D3" w:rsidP="00C1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Аннотация рабочей п</w:t>
      </w:r>
      <w:r w:rsidR="005E05C4">
        <w:rPr>
          <w:rFonts w:ascii="Times New Roman" w:hAnsi="Times New Roman" w:cs="Times New Roman"/>
          <w:b/>
          <w:sz w:val="32"/>
          <w:szCs w:val="32"/>
          <w:u w:val="single"/>
        </w:rPr>
        <w:t>рограммы дисцип</w:t>
      </w:r>
      <w:r w:rsidR="00E36501">
        <w:rPr>
          <w:rFonts w:ascii="Times New Roman" w:hAnsi="Times New Roman" w:cs="Times New Roman"/>
          <w:b/>
          <w:sz w:val="32"/>
          <w:szCs w:val="32"/>
          <w:u w:val="single"/>
        </w:rPr>
        <w:t>лины «</w:t>
      </w:r>
      <w:r w:rsidR="00584FFD">
        <w:rPr>
          <w:rFonts w:ascii="Times New Roman" w:hAnsi="Times New Roman" w:cs="Times New Roman"/>
          <w:b/>
          <w:sz w:val="32"/>
          <w:szCs w:val="32"/>
          <w:u w:val="single"/>
        </w:rPr>
        <w:t>Педагогика и психология высшей школы</w:t>
      </w: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116D3" w:rsidRPr="00C116D3" w:rsidRDefault="00C116D3" w:rsidP="00C116D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FFD" w:rsidRPr="006C7907" w:rsidRDefault="00584FFD" w:rsidP="00584F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455">
        <w:rPr>
          <w:rFonts w:ascii="Times New Roman" w:hAnsi="Times New Roman" w:cs="Times New Roman"/>
          <w:b/>
          <w:sz w:val="28"/>
          <w:szCs w:val="28"/>
        </w:rPr>
        <w:t>Цель изучения дисциплины (модуля):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07">
        <w:rPr>
          <w:rFonts w:ascii="Times New Roman" w:hAnsi="Times New Roman" w:cs="Times New Roman"/>
          <w:sz w:val="28"/>
          <w:szCs w:val="28"/>
        </w:rPr>
        <w:t>формирование у аспирантов целостной системы знаний в области психологии и педагогики высшего образования</w:t>
      </w:r>
      <w:r w:rsidRPr="006C7907">
        <w:t xml:space="preserve"> </w:t>
      </w:r>
    </w:p>
    <w:p w:rsidR="00584FFD" w:rsidRPr="00584FFD" w:rsidRDefault="00584FFD" w:rsidP="00584FF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FD">
        <w:rPr>
          <w:rFonts w:ascii="Times New Roman" w:hAnsi="Times New Roman" w:cs="Times New Roman"/>
          <w:b/>
          <w:sz w:val="28"/>
          <w:szCs w:val="28"/>
        </w:rPr>
        <w:t>З</w:t>
      </w:r>
      <w:r w:rsidRPr="00584FF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84FFD" w:rsidRPr="006C7907" w:rsidRDefault="00584FFD" w:rsidP="00584FFD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7907">
        <w:rPr>
          <w:rFonts w:ascii="Times New Roman" w:hAnsi="Times New Roman"/>
          <w:sz w:val="28"/>
          <w:szCs w:val="28"/>
        </w:rPr>
        <w:t>формирование целостных знаний в области педагогики и психологии высшего образования;</w:t>
      </w:r>
    </w:p>
    <w:p w:rsidR="00584FFD" w:rsidRPr="006C7907" w:rsidRDefault="00584FFD" w:rsidP="00584FFD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7907">
        <w:rPr>
          <w:rFonts w:ascii="Times New Roman" w:hAnsi="Times New Roman"/>
          <w:sz w:val="28"/>
          <w:szCs w:val="28"/>
        </w:rPr>
        <w:t>формирование знаний о познавательной сфере обучающихся;</w:t>
      </w:r>
    </w:p>
    <w:p w:rsidR="00584FFD" w:rsidRPr="006C7907" w:rsidRDefault="00584FFD" w:rsidP="00584FFD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7907">
        <w:rPr>
          <w:rFonts w:ascii="Times New Roman" w:hAnsi="Times New Roman"/>
          <w:sz w:val="28"/>
          <w:szCs w:val="28"/>
        </w:rPr>
        <w:t>ознакомление аспирантов с современными педагогическими технологиями и методами обучения;</w:t>
      </w:r>
    </w:p>
    <w:p w:rsidR="00584FFD" w:rsidRPr="006C7907" w:rsidRDefault="00584FFD" w:rsidP="00584FFD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7907">
        <w:rPr>
          <w:rFonts w:ascii="Times New Roman" w:hAnsi="Times New Roman"/>
          <w:sz w:val="28"/>
          <w:szCs w:val="28"/>
        </w:rPr>
        <w:t>формирование знаний в области построения и структуризации лекционного материала;</w:t>
      </w:r>
    </w:p>
    <w:p w:rsidR="00584FFD" w:rsidRPr="006C7907" w:rsidRDefault="00584FFD" w:rsidP="00584FFD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7907">
        <w:rPr>
          <w:rFonts w:ascii="Times New Roman" w:hAnsi="Times New Roman"/>
          <w:sz w:val="28"/>
          <w:szCs w:val="28"/>
        </w:rPr>
        <w:t>ознакомление аспирантов с психологическими основами профессионального развития.</w:t>
      </w:r>
    </w:p>
    <w:p w:rsidR="00584FFD" w:rsidRPr="00391C25" w:rsidRDefault="00584FFD" w:rsidP="00584FFD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4FFD" w:rsidRPr="00EB146A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6A">
        <w:rPr>
          <w:rFonts w:ascii="Times New Roman" w:hAnsi="Times New Roman" w:cs="Times New Roman"/>
          <w:b/>
          <w:sz w:val="28"/>
          <w:szCs w:val="28"/>
        </w:rPr>
        <w:t>Место дисциплины (модуля) в структуре ОПОП:</w:t>
      </w:r>
      <w:r>
        <w:rPr>
          <w:rFonts w:ascii="Times New Roman" w:hAnsi="Times New Roman" w:cs="Times New Roman"/>
          <w:sz w:val="28"/>
          <w:szCs w:val="28"/>
        </w:rPr>
        <w:t xml:space="preserve"> вариативная</w:t>
      </w:r>
      <w:r w:rsidRPr="00EB146A">
        <w:rPr>
          <w:rFonts w:ascii="Times New Roman" w:hAnsi="Times New Roman" w:cs="Times New Roman"/>
          <w:sz w:val="28"/>
          <w:szCs w:val="28"/>
        </w:rPr>
        <w:t xml:space="preserve">, обязательная,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–ой год обучения (очная форма обучения), </w:t>
      </w:r>
      <w:r>
        <w:rPr>
          <w:rFonts w:ascii="Times New Roman" w:hAnsi="Times New Roman" w:cs="Times New Roman"/>
          <w:sz w:val="28"/>
          <w:szCs w:val="28"/>
        </w:rPr>
        <w:br/>
      </w:r>
      <w:r w:rsidRPr="00EB1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EB14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(заочная форма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FFD" w:rsidRPr="00391C25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4FFD" w:rsidRPr="00205608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0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выпускников):</w:t>
      </w:r>
    </w:p>
    <w:p w:rsidR="00584FFD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программы аспирантуры у выпуск</w:t>
      </w:r>
      <w:r>
        <w:rPr>
          <w:rFonts w:ascii="Times New Roman" w:hAnsi="Times New Roman" w:cs="Times New Roman"/>
          <w:sz w:val="28"/>
          <w:szCs w:val="28"/>
        </w:rPr>
        <w:t xml:space="preserve">ника должны быть сформированы </w:t>
      </w:r>
      <w:r w:rsidRPr="00391C25">
        <w:rPr>
          <w:rFonts w:ascii="Times New Roman" w:hAnsi="Times New Roman" w:cs="Times New Roman"/>
          <w:sz w:val="28"/>
          <w:szCs w:val="28"/>
        </w:rPr>
        <w:t>универс</w:t>
      </w:r>
      <w:r>
        <w:rPr>
          <w:rFonts w:ascii="Times New Roman" w:hAnsi="Times New Roman" w:cs="Times New Roman"/>
          <w:sz w:val="28"/>
          <w:szCs w:val="28"/>
        </w:rPr>
        <w:t>альные, общепрофессиональные, профессиональные компетенции.</w:t>
      </w:r>
    </w:p>
    <w:p w:rsidR="00584FFD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4FFD" w:rsidRPr="00391C25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указанной программы аспирантуры выпускник должен об</w:t>
      </w:r>
      <w:r>
        <w:rPr>
          <w:rFonts w:ascii="Times New Roman" w:hAnsi="Times New Roman" w:cs="Times New Roman"/>
          <w:sz w:val="28"/>
          <w:szCs w:val="28"/>
        </w:rPr>
        <w:t>ладать следующими компетенциями:</w:t>
      </w:r>
    </w:p>
    <w:p w:rsidR="00584FFD" w:rsidRPr="00391C25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4FFD" w:rsidRPr="00391C25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 xml:space="preserve">универсальными компетенциями: </w:t>
      </w:r>
    </w:p>
    <w:p w:rsidR="00584FFD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C25">
        <w:rPr>
          <w:rFonts w:ascii="Times New Roman" w:hAnsi="Times New Roman" w:cs="Times New Roman"/>
          <w:sz w:val="28"/>
          <w:szCs w:val="28"/>
        </w:rPr>
        <w:t xml:space="preserve">  </w:t>
      </w:r>
      <w:r w:rsidRPr="00EB0274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EB0274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(УК-1);</w:t>
      </w:r>
    </w:p>
    <w:p w:rsidR="00584FFD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91C25">
        <w:rPr>
          <w:rFonts w:ascii="Times New Roman" w:hAnsi="Times New Roman" w:cs="Times New Roman"/>
          <w:sz w:val="28"/>
          <w:szCs w:val="28"/>
        </w:rPr>
        <w:t xml:space="preserve"> </w:t>
      </w:r>
      <w:r w:rsidRPr="00864A06">
        <w:rPr>
          <w:rFonts w:ascii="Times New Roman" w:hAnsi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84FFD" w:rsidRDefault="00584FFD" w:rsidP="00584FFD">
      <w:pPr>
        <w:pStyle w:val="a3"/>
        <w:numPr>
          <w:ilvl w:val="0"/>
          <w:numId w:val="8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33F7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3633F7">
        <w:rPr>
          <w:rFonts w:ascii="Times New Roman" w:hAnsi="Times New Roman"/>
          <w:sz w:val="28"/>
          <w:szCs w:val="28"/>
        </w:rPr>
        <w:t xml:space="preserve"> следовать этическим нормам в профессиональной деятельности (УК-5);</w:t>
      </w:r>
    </w:p>
    <w:p w:rsidR="00584FFD" w:rsidRPr="00B171A2" w:rsidRDefault="00584FFD" w:rsidP="00584FFD">
      <w:pPr>
        <w:pStyle w:val="a3"/>
        <w:numPr>
          <w:ilvl w:val="0"/>
          <w:numId w:val="8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1A2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B171A2">
        <w:rPr>
          <w:rFonts w:ascii="Times New Roman" w:hAnsi="Times New Roman"/>
          <w:sz w:val="28"/>
          <w:szCs w:val="28"/>
        </w:rPr>
        <w:t xml:space="preserve"> планировать и решать задачи собственного профессионального и личностного развития (УК-6);</w:t>
      </w:r>
    </w:p>
    <w:p w:rsidR="00584FFD" w:rsidRDefault="00584FFD" w:rsidP="00584FF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F7">
        <w:rPr>
          <w:rFonts w:ascii="Times New Roman" w:hAnsi="Times New Roman" w:cs="Times New Roman"/>
          <w:b/>
          <w:sz w:val="28"/>
          <w:szCs w:val="28"/>
        </w:rPr>
        <w:t>общепрофессиональными компетенциями:</w:t>
      </w:r>
    </w:p>
    <w:p w:rsidR="00584FFD" w:rsidRDefault="00584FFD" w:rsidP="00584FFD">
      <w:pPr>
        <w:pStyle w:val="a3"/>
        <w:numPr>
          <w:ilvl w:val="0"/>
          <w:numId w:val="9"/>
        </w:numPr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33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A4033C">
        <w:rPr>
          <w:rFonts w:ascii="Times New Roman" w:hAnsi="Times New Roman"/>
          <w:color w:val="000000"/>
          <w:sz w:val="28"/>
          <w:szCs w:val="28"/>
          <w:lang w:eastAsia="ar-SA"/>
        </w:rPr>
        <w:t>отовностью к преподавательской деятельности по образовательным программам высшего образования (ОПК-6)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FFD" w:rsidRPr="00A4033C" w:rsidRDefault="00584FFD" w:rsidP="00584FFD">
      <w:pPr>
        <w:pStyle w:val="a3"/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3C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</w:p>
    <w:p w:rsidR="00584FFD" w:rsidRPr="00B118EC" w:rsidRDefault="00584FFD" w:rsidP="00584FFD">
      <w:pPr>
        <w:pStyle w:val="a3"/>
        <w:numPr>
          <w:ilvl w:val="0"/>
          <w:numId w:val="9"/>
        </w:num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EC">
        <w:rPr>
          <w:rFonts w:ascii="Times New Roman" w:hAnsi="Times New Roman"/>
          <w:sz w:val="28"/>
          <w:szCs w:val="28"/>
        </w:rPr>
        <w:t>способностью</w:t>
      </w:r>
      <w:r w:rsidRPr="00B118EC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B118EC">
        <w:rPr>
          <w:rFonts w:ascii="Times New Roman" w:hAnsi="Times New Roman"/>
          <w:sz w:val="28"/>
          <w:szCs w:val="28"/>
          <w:shd w:val="clear" w:color="auto" w:fill="FFFFFF"/>
        </w:rPr>
        <w:t>готовностью организовать, обеспечить методически и реализовать педагогический процесс по дисциплинам образовательных программ высшего образования в соответствии с направленностью программы аспирантуры (ПК-7).</w:t>
      </w:r>
    </w:p>
    <w:p w:rsidR="006911E2" w:rsidRDefault="006911E2" w:rsidP="006911E2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4FFD" w:rsidRPr="00584FFD" w:rsidRDefault="00584FFD" w:rsidP="00584FFD">
      <w:pPr>
        <w:spacing w:before="100" w:beforeAutospacing="1" w:after="100" w:afterAutospacing="1" w:line="240" w:lineRule="auto"/>
        <w:ind w:firstLine="29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84FFD">
        <w:rPr>
          <w:rFonts w:ascii="Times New Roman" w:hAnsi="Times New Roman" w:cs="Times New Roman"/>
          <w:b/>
          <w:sz w:val="28"/>
          <w:szCs w:val="28"/>
        </w:rPr>
        <w:t xml:space="preserve">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обучения: </w:t>
      </w:r>
      <w:r w:rsidRPr="00584FFD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практические задания, опережающая самостоятельная работа, письменный контроль усвоенного материала, устный контроль усвоенного материала, дискуссии, разбор кейсов, выполнение проектов, анализ и обсуждение самостоятельных и контрольных работ.</w:t>
      </w:r>
    </w:p>
    <w:p w:rsidR="00584FFD" w:rsidRDefault="00584FFD" w:rsidP="006911E2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11E2" w:rsidRPr="006911E2" w:rsidRDefault="006911E2" w:rsidP="006911E2">
      <w:pPr>
        <w:pStyle w:val="a3"/>
        <w:tabs>
          <w:tab w:val="left" w:pos="148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Default="00E36501" w:rsidP="00E3650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6911E2" w:rsidRPr="000E39EB" w:rsidRDefault="006911E2" w:rsidP="006911E2">
      <w:pPr>
        <w:pStyle w:val="a3"/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E3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9EB">
        <w:rPr>
          <w:rFonts w:ascii="Times New Roman" w:hAnsi="Times New Roman" w:cs="Times New Roman"/>
          <w:b/>
          <w:sz w:val="28"/>
          <w:szCs w:val="28"/>
        </w:rPr>
        <w:t>. История и теоретические основы биоэтики</w:t>
      </w:r>
    </w:p>
    <w:p w:rsidR="006911E2" w:rsidRPr="000E39EB" w:rsidRDefault="006911E2" w:rsidP="006911E2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6911E2" w:rsidRPr="006911E2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39EB">
        <w:rPr>
          <w:rFonts w:ascii="Times New Roman" w:hAnsi="Times New Roman" w:cs="Times New Roman"/>
          <w:b/>
          <w:sz w:val="28"/>
          <w:szCs w:val="28"/>
        </w:rPr>
        <w:t>История развития биоэтики. Понятие биоэтики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39EB">
        <w:rPr>
          <w:rFonts w:ascii="Times New Roman" w:hAnsi="Times New Roman" w:cs="Times New Roman"/>
          <w:sz w:val="28"/>
          <w:szCs w:val="28"/>
        </w:rPr>
        <w:t xml:space="preserve">Кодекс Хаммурапи. Медицина Древней Индии. Врачебные школы Древней Греции. Клятва Гиппократа. Понятия «врач» и «врачебная помощь» в Средневековье. Этика Авиценны. Этические представления Парацельса. Стратегические цели медицины Нового времени Ф. Бэкона, введение термина «эвтаназия». Философский базис эпохи Просвещения Д.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Грэгори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. Медицинская этика Т.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Персиваля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. Формирование сестринской этики в Великобритании, США. Развитие медицинской этики в ХХ в. (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Женвская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декларация, Международный кодекс медицинской этики, Международный кодекс медицинской сестры)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 xml:space="preserve">Развитие медицинской этики в России (М.Я.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Н.И. Пирогов, </w:t>
      </w:r>
      <w:r w:rsidRPr="000E39EB">
        <w:rPr>
          <w:rFonts w:ascii="Times New Roman" w:hAnsi="Times New Roman" w:cs="Times New Roman"/>
          <w:sz w:val="28"/>
          <w:szCs w:val="28"/>
        </w:rPr>
        <w:br/>
        <w:t xml:space="preserve">С.П. Боткин, В.А.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Манассеин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и др.). Медицинская деонтология как учение о обязанностях медицинских работников (Н.Н. Петров). Термин «биоэтика» В.Р. Портера, А.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Хеллегерса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. Биоэтика как междисциплинарная область исследований. Уровни биоэтических исследований: фундаментальный – философский уровень, уровень изучения конкретных проблем, относящихся к медицинской деятельности. Основная цель биоэтических обсуждений и исследований. Структура предметной сферы биоэтики: биоэтика, биомедицинская этика, медицинская этика, клиническая этика.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>Формирование биоэтики. Биомедицина как предмет исследования биоэтики. Основные проблемные поля биоэтики: разработка биомедицины, права и справедливость, пациент и процесс медицинской помощи, этика научно-медицинских исследований, цели и моральные смыслы медицины.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 xml:space="preserve">Биоэтика </w:t>
      </w:r>
      <w:r w:rsidRPr="000E39EB">
        <w:rPr>
          <w:rFonts w:ascii="Times New Roman" w:hAnsi="Times New Roman" w:cs="Times New Roman"/>
          <w:sz w:val="28"/>
          <w:szCs w:val="28"/>
        </w:rPr>
        <w:lastRenderedPageBreak/>
        <w:t xml:space="preserve">как социальный институт. Ее особенные черты как социального института: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, дискуссионный характер обсуждений, открытость. Структура современной биоэтики как социального института: академическая биоэтика; этические комитеты; этические комиссии, советы и рабочие группы; объединения представителей этического сообщества; объединения пациентов и их семей; общественные движения.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9EB">
        <w:rPr>
          <w:rFonts w:ascii="Times New Roman" w:hAnsi="Times New Roman" w:cs="Times New Roman"/>
          <w:sz w:val="28"/>
          <w:szCs w:val="28"/>
        </w:rPr>
        <w:t>Международные документы по биоэтике: Нюрнбергский кодекс, Женевская декларация (ВМА, 1948), Международный кодекс медицинской этики (ВМА, 1949), Хельсинская декларация (ВМА, 1964, 2013), Лиссабонская декларация о правах пациентов (ВМА, 1981), Декларация по продвижению прав пациентов в Европе (Всемирная организация здравоохранения (ВОЗ), 1994), Конвенция Совета Европы «О правах человека и биомедицине» (1997), Всеобщая декларация о геноме человека и правах человека (ЮНЕСКО, 1997), Рекомендации комитетам по этике, проводящим экспертизу биомедицинских исследований (ВОЗ, 2000), Всеобщая декларация о биоэтике и правах человека (ЮНЕСКО, 2005), Рекомендации Совета Европы относительно исследований, проводимых на биологических материалах человеческого происхождения (2006). Теоретические основы современной биоэтики. Проблема метода в биоэтике. Моральный релятивизм в современном обществе. Основные подходы в развитии биоэтики: подход, основанный на принципах (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Бичамп-Чилдрес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Витч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) и подход, основанный на анализе случаев, или прецедентов (С.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А.Джонсн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Толлмон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, Р. Миллер). Общая схема казуистического метода в биоэтике. Достоинства и недостатки подходов.</w:t>
      </w:r>
    </w:p>
    <w:p w:rsidR="006911E2" w:rsidRPr="000E39EB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9EB">
        <w:rPr>
          <w:rFonts w:ascii="Times New Roman" w:hAnsi="Times New Roman" w:cs="Times New Roman"/>
          <w:sz w:val="28"/>
          <w:szCs w:val="28"/>
        </w:rPr>
        <w:t xml:space="preserve">  Этические концепции, применяемые для анализа и решения моральных проблем медицины: «утилитаризм» (И. Бентам, Дж. Ст. Милль), «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деонтологическая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 этика» (И. Кант), «этика добродетелей» (Платон, Аристотель, Г.Э.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Энскомб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Макинтайр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Слоут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E39EB">
        <w:rPr>
          <w:rFonts w:ascii="Times New Roman" w:hAnsi="Times New Roman" w:cs="Times New Roman"/>
          <w:sz w:val="28"/>
          <w:szCs w:val="28"/>
        </w:rPr>
        <w:t>Хестерхаус</w:t>
      </w:r>
      <w:proofErr w:type="spellEnd"/>
      <w:r w:rsidRPr="000E39EB">
        <w:rPr>
          <w:rFonts w:ascii="Times New Roman" w:hAnsi="Times New Roman" w:cs="Times New Roman"/>
          <w:sz w:val="28"/>
          <w:szCs w:val="28"/>
        </w:rPr>
        <w:t>), «феминистская этика», «этика заботы». Уровни этического анализа. Структура морального рассуждения.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E2">
        <w:rPr>
          <w:rFonts w:ascii="Times New Roman" w:hAnsi="Times New Roman" w:cs="Times New Roman"/>
          <w:b/>
          <w:sz w:val="28"/>
          <w:szCs w:val="28"/>
        </w:rPr>
        <w:t>Этика медицинского риска.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Значение проблемы риска в современном мире. Концепция «общество риска» У. Бека. Понятие «риск». Основные поля риска в медицинской сфере. Осн</w:t>
      </w:r>
      <w:r>
        <w:rPr>
          <w:rFonts w:ascii="Times New Roman" w:hAnsi="Times New Roman" w:cs="Times New Roman"/>
          <w:sz w:val="28"/>
          <w:szCs w:val="28"/>
        </w:rPr>
        <w:t xml:space="preserve">овные подходы к изучению риска: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физикалистская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интерпретация, прагматическая интерпретация. Проблемы количественных методов изучения рисков. Этический подход к риску Э.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Агацци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Нозик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. Основные принципы этики медицинского риска: принципы концентрации ответственности и приоритета проблем риска. Клинические решения в условиях риска. Обязанности врача в условиях принятия рискованного решения. Взаимодействие с пациентом по поводу принятия рискованного решения. Разработка индивидуализированного клинического решения. Метод «четырех квадратов» А.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Джонсена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. Типология случаев необходимости принятия решения, особо чувствительного к личной позиции пациента (Дж. П.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Кассирер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Модель совместного принятия решения. Принцип «двойного эффекта». Правовая оценка: обоснованный1 и необоснованный риск. Понятие «врачебной ошибки». Классификация врачебных ошибок </w:t>
      </w:r>
      <w:r w:rsidRPr="0044728A">
        <w:rPr>
          <w:rFonts w:ascii="Times New Roman" w:hAnsi="Times New Roman" w:cs="Times New Roman"/>
          <w:sz w:val="28"/>
          <w:szCs w:val="28"/>
        </w:rPr>
        <w:br/>
        <w:t xml:space="preserve">(Ю.Т.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Понятие «ятрогения». Классификация ятрогений (по </w:t>
      </w:r>
      <w:r w:rsidRPr="0044728A">
        <w:rPr>
          <w:rFonts w:ascii="Times New Roman" w:hAnsi="Times New Roman" w:cs="Times New Roman"/>
          <w:sz w:val="28"/>
          <w:szCs w:val="28"/>
        </w:rPr>
        <w:br/>
      </w:r>
      <w:r w:rsidRPr="0044728A">
        <w:rPr>
          <w:rFonts w:ascii="Times New Roman" w:hAnsi="Times New Roman" w:cs="Times New Roman"/>
          <w:sz w:val="28"/>
          <w:szCs w:val="28"/>
        </w:rPr>
        <w:lastRenderedPageBreak/>
        <w:t xml:space="preserve">С.Я.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Долецкому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Классификация ятрогений для оценки операционного риска </w:t>
      </w:r>
      <w:r w:rsidRPr="0044728A">
        <w:rPr>
          <w:rFonts w:ascii="Times New Roman" w:hAnsi="Times New Roman" w:cs="Times New Roman"/>
          <w:sz w:val="28"/>
          <w:szCs w:val="28"/>
        </w:rPr>
        <w:br/>
        <w:t xml:space="preserve">(В.А.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Гологорский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>). Основные этические проблемы врачебных ошибок. Раскрытие информации о врачебной ошибке. План активных действия при врачебных ошибках и ятрогениях.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Безопасность в медицинских учреждениях. Уровни клинического риска. Моральные проблемы обеспечения безопасности медицинской помощи в медицинских системах. Программы безопасности пациентов. Методика анализа медицинских ошибок и несчастных случаев «Анализ корневых причин» (</w:t>
      </w:r>
      <w:r w:rsidRPr="0044728A">
        <w:rPr>
          <w:rFonts w:ascii="Times New Roman" w:hAnsi="Times New Roman" w:cs="Times New Roman"/>
          <w:sz w:val="28"/>
          <w:szCs w:val="28"/>
          <w:lang w:val="en-US"/>
        </w:rPr>
        <w:t>RCA</w:t>
      </w:r>
      <w:r w:rsidRPr="0044728A">
        <w:rPr>
          <w:rFonts w:ascii="Times New Roman" w:hAnsi="Times New Roman" w:cs="Times New Roman"/>
          <w:sz w:val="28"/>
          <w:szCs w:val="28"/>
        </w:rPr>
        <w:t>).</w:t>
      </w:r>
    </w:p>
    <w:p w:rsidR="006911E2" w:rsidRPr="006911E2" w:rsidRDefault="006911E2" w:rsidP="006911E2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1E2" w:rsidRPr="0044728A" w:rsidRDefault="006911E2" w:rsidP="006911E2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72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728A">
        <w:rPr>
          <w:rFonts w:ascii="Times New Roman" w:hAnsi="Times New Roman" w:cs="Times New Roman"/>
          <w:b/>
          <w:sz w:val="28"/>
          <w:szCs w:val="28"/>
        </w:rPr>
        <w:t>. Биоэтика и общество</w:t>
      </w:r>
    </w:p>
    <w:p w:rsidR="006911E2" w:rsidRPr="00234E74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E2">
        <w:rPr>
          <w:rFonts w:ascii="Times New Roman" w:hAnsi="Times New Roman" w:cs="Times New Roman"/>
          <w:b/>
          <w:sz w:val="28"/>
          <w:szCs w:val="28"/>
        </w:rPr>
        <w:t>Эт</w:t>
      </w:r>
      <w:r>
        <w:rPr>
          <w:rFonts w:ascii="Times New Roman" w:hAnsi="Times New Roman" w:cs="Times New Roman"/>
          <w:b/>
          <w:sz w:val="28"/>
          <w:szCs w:val="28"/>
        </w:rPr>
        <w:t xml:space="preserve">ика биомедицинских исследований. </w:t>
      </w:r>
      <w:r w:rsidRPr="0044728A">
        <w:rPr>
          <w:rFonts w:ascii="Times New Roman" w:hAnsi="Times New Roman" w:cs="Times New Roman"/>
          <w:sz w:val="28"/>
          <w:szCs w:val="28"/>
        </w:rPr>
        <w:t xml:space="preserve">Попытки экспериментирования на людях в Древнем Египте. Экспериментирование как осознанный научный метод в Новое время (А. Паре, Ф. Бэкон, Дж. Линд, Э.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Эксперименты </w:t>
      </w:r>
      <w:r w:rsidRPr="004472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728A">
        <w:rPr>
          <w:rFonts w:ascii="Times New Roman" w:hAnsi="Times New Roman" w:cs="Times New Roman"/>
          <w:sz w:val="28"/>
          <w:szCs w:val="28"/>
        </w:rPr>
        <w:t xml:space="preserve"> в. (Й.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Йорг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, К. Бернар, Г.Н.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Минх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Форсман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Современный этап (Г.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Бичер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). Этические принципы биомедицинских исследований на человеке.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Бельмонтские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принципы. Реализация основных этических принципов биомедицинских исследований.</w:t>
      </w:r>
      <w:r w:rsidR="0023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 xml:space="preserve">Клинические исследования. Ключевые термины исследовательской этики. Методология клинических исследований. Этические проблемы рандомизации. Клиническое равновесие. Лечащий врач и исследователь: конфликт ролей. Клиническая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мисконцепция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Аппельбаума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>. Этические проблемы применения плацебо в клинических исследованиях.</w:t>
      </w:r>
      <w:r w:rsidR="0023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Эпидемиологические исследования. Основные принципы эпидемиологических исследований. Экспериментальная практика. Рекомендации по использованию клинических инноваций на практике.</w:t>
      </w:r>
      <w:r w:rsidR="0023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 xml:space="preserve">Этика экспериментирования на животных. Виды животных, используемых для экспериментов. Современная регуляция исследований на животных. Правило </w:t>
      </w:r>
      <w:r w:rsidRPr="0044728A">
        <w:rPr>
          <w:rFonts w:ascii="Times New Roman" w:hAnsi="Times New Roman" w:cs="Times New Roman"/>
          <w:sz w:val="28"/>
          <w:szCs w:val="28"/>
        </w:rPr>
        <w:br/>
        <w:t>3</w:t>
      </w:r>
      <w:r w:rsidRPr="004472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8A">
        <w:rPr>
          <w:rFonts w:ascii="Times New Roman" w:hAnsi="Times New Roman" w:cs="Times New Roman"/>
          <w:sz w:val="28"/>
          <w:szCs w:val="28"/>
        </w:rPr>
        <w:t>Берча</w:t>
      </w:r>
      <w:proofErr w:type="spellEnd"/>
      <w:r w:rsidRPr="0044728A">
        <w:rPr>
          <w:rFonts w:ascii="Times New Roman" w:hAnsi="Times New Roman" w:cs="Times New Roman"/>
          <w:sz w:val="28"/>
          <w:szCs w:val="28"/>
        </w:rPr>
        <w:t xml:space="preserve"> –Рассела. Основные этические принципы обращения с экспериментальными животными. История развития этических комитетов. Виды этических комитетов. Принципы и особенности работы этических комитетов. Исследовательские комитеты. Больничные комитеты. Проблемы этических комитетов.</w:t>
      </w:r>
    </w:p>
    <w:p w:rsidR="006911E2" w:rsidRPr="00234E74" w:rsidRDefault="00234E74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E2" w:rsidRPr="00234E74">
        <w:rPr>
          <w:rFonts w:ascii="Times New Roman" w:hAnsi="Times New Roman" w:cs="Times New Roman"/>
          <w:b/>
          <w:sz w:val="28"/>
          <w:szCs w:val="28"/>
        </w:rPr>
        <w:t>Этические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отдельных медицинских областей</w:t>
      </w:r>
      <w:r w:rsidR="006911E2" w:rsidRPr="00234E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1E2" w:rsidRPr="0044728A">
        <w:rPr>
          <w:rFonts w:ascii="Times New Roman" w:hAnsi="Times New Roman" w:cs="Times New Roman"/>
          <w:sz w:val="28"/>
          <w:szCs w:val="28"/>
        </w:rPr>
        <w:t xml:space="preserve">Смерть и умирание в эпоху новых медицинских технологий. Проблема критериев смерти человека. Смерть мозга. Проблема отказа от лечебных мероприятий. Проблема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персистрирующего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вегетативного состояния (ПВС) в реаниматологии. Проблема эвтаназии. Паллиативная помощь и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хосписное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движение. Моральные проблемы трансплантации органов и тканей. Проблема определения смерти человека в трансплантологии. Проблемы изъятия и распределения донорского материала. Проблема торговли человеческими органами и тканями. Новая проблема трансплантологии: маргинальные органы. Ксенотрансплантация. Возможные пути решения проблемы дефи</w:t>
      </w:r>
      <w:r>
        <w:rPr>
          <w:rFonts w:ascii="Times New Roman" w:hAnsi="Times New Roman" w:cs="Times New Roman"/>
          <w:sz w:val="28"/>
          <w:szCs w:val="28"/>
        </w:rPr>
        <w:t xml:space="preserve">цита донорских органов и тканей. </w:t>
      </w:r>
      <w:r w:rsidR="006911E2" w:rsidRPr="0044728A">
        <w:rPr>
          <w:rFonts w:ascii="Times New Roman" w:hAnsi="Times New Roman" w:cs="Times New Roman"/>
          <w:sz w:val="28"/>
          <w:szCs w:val="28"/>
        </w:rPr>
        <w:t xml:space="preserve">Репродуктивная этика и вмешательства в репродукцию человека. Понятие репродуктивной этики. Аборты: моральные подходы к проблеме. Репродуктивные технологии. Искусственное оплодотворение. Экстракорпоральное оплодотворение. Суррогатное </w:t>
      </w:r>
      <w:r w:rsidR="006911E2" w:rsidRPr="0044728A">
        <w:rPr>
          <w:rFonts w:ascii="Times New Roman" w:hAnsi="Times New Roman" w:cs="Times New Roman"/>
          <w:sz w:val="28"/>
          <w:szCs w:val="28"/>
        </w:rPr>
        <w:lastRenderedPageBreak/>
        <w:t xml:space="preserve">материнство. Этика в психиатрии. Отношение к душевнобольным в разные исторические периоды. Уязвимость психических больных. Особенности клинической этики в работе психиатра. Защита прав лиц с психическими расстройствами. СПИД. Проблемы раннего этапа борьбы со СПИДом. Защита прав ВИЧ-инфицированных. Проблема доступа к экспериментальному лечению больных СПИДом. Этические проблемы в связи с профессиональным риском медработников. Уровни эпидемии ВИЧ. Социальная солидарность и взаимопомощь. Инновационные технологии биомедицины. Понятие конвергентных технологий. Моральное значение инновационных технологий биомедицины. Медицинская генетика и геномная медицина: перспективы. Критика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геномики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как масштабного научного проекта. Особенности и опасности генетической информации. Международные биоэтические документы в области генетики. Этические проблемы прикладных генетических методов. Генетическое тестирование.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Преимплантационная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генетическая диагностика. Генетический скрининг. Генетические биобанки. Генная терапия.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Нейроэтика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. Моральные проблемы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нейроимиджинга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. Ментальный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энхансмент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Наномедицина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наноэтика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. Основные этические проблемы прикладных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наномедицинских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разработок. Моральные проблемы </w:t>
      </w:r>
      <w:proofErr w:type="spellStart"/>
      <w:r w:rsidR="006911E2" w:rsidRPr="0044728A">
        <w:rPr>
          <w:rFonts w:ascii="Times New Roman" w:hAnsi="Times New Roman" w:cs="Times New Roman"/>
          <w:sz w:val="28"/>
          <w:szCs w:val="28"/>
        </w:rPr>
        <w:t>наномедицины</w:t>
      </w:r>
      <w:proofErr w:type="spellEnd"/>
      <w:r w:rsidR="006911E2" w:rsidRPr="0044728A">
        <w:rPr>
          <w:rFonts w:ascii="Times New Roman" w:hAnsi="Times New Roman" w:cs="Times New Roman"/>
          <w:sz w:val="28"/>
          <w:szCs w:val="28"/>
        </w:rPr>
        <w:t xml:space="preserve"> как фундаментального проекта.</w:t>
      </w:r>
    </w:p>
    <w:p w:rsidR="006911E2" w:rsidRPr="0044728A" w:rsidRDefault="006911E2" w:rsidP="006911E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4E74">
        <w:rPr>
          <w:rFonts w:ascii="Times New Roman" w:hAnsi="Times New Roman" w:cs="Times New Roman"/>
          <w:sz w:val="28"/>
          <w:szCs w:val="28"/>
        </w:rPr>
        <w:t>.</w:t>
      </w:r>
      <w:r w:rsidRPr="00234E74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Pr="00234E7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34E74">
        <w:rPr>
          <w:rFonts w:ascii="Times New Roman" w:hAnsi="Times New Roman" w:cs="Times New Roman"/>
          <w:b/>
          <w:sz w:val="28"/>
          <w:szCs w:val="28"/>
        </w:rPr>
        <w:t>праведливости в здравоохранении</w:t>
      </w:r>
      <w:r w:rsidR="00234E74">
        <w:rPr>
          <w:rFonts w:ascii="Times New Roman" w:hAnsi="Times New Roman" w:cs="Times New Roman"/>
          <w:sz w:val="28"/>
          <w:szCs w:val="28"/>
        </w:rPr>
        <w:t xml:space="preserve">. </w:t>
      </w:r>
      <w:r w:rsidRPr="0044728A">
        <w:rPr>
          <w:rFonts w:ascii="Times New Roman" w:hAnsi="Times New Roman" w:cs="Times New Roman"/>
          <w:sz w:val="28"/>
          <w:szCs w:val="28"/>
        </w:rPr>
        <w:t>Теоретические основания проблемы справедливости в здравоохранении. Проблема справедливого распределения ресурсов в здравоохранении. Этические теории справедливости. Трудности этических теорий справедливости в здравоохранении. Основные системы здравоохранения и проблема справедливого обеспечения медицинской помощью. Рынок частного медицинского страхования. Обязательное медицинское страхование. Государственная медицина. Проблема регуляции доступа пациентов к дефицитным ресурсам. Врачебная этика и проблемы распределения на микроуровне. Проблемы справедливости и необходимость общественного участия.</w:t>
      </w:r>
      <w:r w:rsidR="00234E74">
        <w:rPr>
          <w:rFonts w:ascii="Times New Roman" w:hAnsi="Times New Roman" w:cs="Times New Roman"/>
          <w:sz w:val="28"/>
          <w:szCs w:val="28"/>
        </w:rPr>
        <w:t xml:space="preserve"> </w:t>
      </w:r>
      <w:r w:rsidRPr="0044728A">
        <w:rPr>
          <w:rFonts w:ascii="Times New Roman" w:hAnsi="Times New Roman" w:cs="Times New Roman"/>
          <w:sz w:val="28"/>
          <w:szCs w:val="28"/>
        </w:rPr>
        <w:t>Этика общественного здравоохранения как проблема для биоэтики. Поиск теоретических оснований этики общественного здравоохранения. Основные принципы этики общественного здравоохранения.</w:t>
      </w:r>
    </w:p>
    <w:p w:rsidR="006911E2" w:rsidRDefault="006911E2" w:rsidP="00E365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6501" w:rsidRDefault="00C15A86" w:rsidP="00E36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итоговой аттестации</w:t>
      </w:r>
      <w:r w:rsidRPr="00C1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1E2">
        <w:rPr>
          <w:rFonts w:ascii="Times New Roman" w:hAnsi="Times New Roman" w:cs="Times New Roman"/>
          <w:sz w:val="28"/>
          <w:szCs w:val="28"/>
        </w:rPr>
        <w:t xml:space="preserve">– </w:t>
      </w:r>
      <w:r w:rsidR="00E3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зачет.</w:t>
      </w:r>
    </w:p>
    <w:p w:rsidR="00C15A86" w:rsidRPr="00C15A86" w:rsidRDefault="00C15A86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A86" w:rsidRPr="00C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328"/>
    <w:multiLevelType w:val="hybridMultilevel"/>
    <w:tmpl w:val="74D2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3ECF"/>
    <w:multiLevelType w:val="hybridMultilevel"/>
    <w:tmpl w:val="791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917"/>
    <w:multiLevelType w:val="hybridMultilevel"/>
    <w:tmpl w:val="E31AEE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470820"/>
    <w:multiLevelType w:val="hybridMultilevel"/>
    <w:tmpl w:val="D7D21B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9742088"/>
    <w:multiLevelType w:val="hybridMultilevel"/>
    <w:tmpl w:val="71E019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ED330A4"/>
    <w:multiLevelType w:val="multilevel"/>
    <w:tmpl w:val="7B4A3F1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42DA3"/>
    <w:multiLevelType w:val="hybridMultilevel"/>
    <w:tmpl w:val="1A06D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665AA"/>
    <w:multiLevelType w:val="hybridMultilevel"/>
    <w:tmpl w:val="CBF0690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4220964"/>
    <w:multiLevelType w:val="multilevel"/>
    <w:tmpl w:val="20E453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AA967C6"/>
    <w:multiLevelType w:val="hybridMultilevel"/>
    <w:tmpl w:val="B7DC01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B"/>
    <w:rsid w:val="000373A9"/>
    <w:rsid w:val="00234E74"/>
    <w:rsid w:val="00287FA8"/>
    <w:rsid w:val="002A0DEB"/>
    <w:rsid w:val="00584FFD"/>
    <w:rsid w:val="005E05C4"/>
    <w:rsid w:val="006911E2"/>
    <w:rsid w:val="00887653"/>
    <w:rsid w:val="009D4390"/>
    <w:rsid w:val="00A453F2"/>
    <w:rsid w:val="00C116D3"/>
    <w:rsid w:val="00C15A86"/>
    <w:rsid w:val="00C71DFD"/>
    <w:rsid w:val="00E36501"/>
    <w:rsid w:val="00F72265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25E-2F2B-49D4-8F90-65609FB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6D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8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rsid w:val="009D439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13</cp:revision>
  <cp:lastPrinted>2020-07-08T11:34:00Z</cp:lastPrinted>
  <dcterms:created xsi:type="dcterms:W3CDTF">2020-07-08T09:38:00Z</dcterms:created>
  <dcterms:modified xsi:type="dcterms:W3CDTF">2020-07-08T14:19:00Z</dcterms:modified>
</cp:coreProperties>
</file>